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caps/>
        </w:rPr>
        <w:t>сообщение о существенном факте.</w:t>
      </w:r>
      <w:r w:rsidRPr="009C5B63">
        <w:rPr>
          <w:rFonts w:ascii="Verdana" w:hAnsi="Verdana" w:cs="Verdana"/>
          <w:b/>
          <w:bCs/>
          <w:caps/>
        </w:rPr>
        <w:br/>
      </w:r>
    </w:p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smallCaps/>
        </w:rPr>
        <w:t>"Информация об отдельных решениях, принятых Советом директоров Общества"</w:t>
      </w:r>
      <w:r w:rsidRPr="009C5B63">
        <w:rPr>
          <w:rFonts w:ascii="Verdana" w:hAnsi="Verdana" w:cs="Verdana"/>
          <w:b/>
          <w:bCs/>
          <w:caps/>
        </w:rPr>
        <w:t xml:space="preserve"> </w:t>
      </w:r>
    </w:p>
    <w:p w:rsidR="00D93EDB" w:rsidRDefault="00D93EDB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E806E9" w:rsidRPr="00967D8F" w:rsidRDefault="00E806E9" w:rsidP="00E806E9">
      <w:pPr>
        <w:pStyle w:val="a3"/>
        <w:spacing w:before="120"/>
        <w:jc w:val="center"/>
        <w:rPr>
          <w:rFonts w:ascii="Verdana" w:hAnsi="Verdana" w:cs="Verdana"/>
          <w:smallCaps/>
        </w:rPr>
      </w:pPr>
      <w:r w:rsidRPr="00E806E9">
        <w:rPr>
          <w:rFonts w:ascii="Verdana" w:hAnsi="Verdana" w:cs="Verdana"/>
          <w:smallCaps/>
        </w:rPr>
        <w:t>о</w:t>
      </w:r>
      <w:r w:rsidRPr="00E806E9">
        <w:rPr>
          <w:rFonts w:ascii="Verdana" w:hAnsi="Verdana" w:cs="Verdana"/>
          <w:smallCaps/>
        </w:rPr>
        <w:t xml:space="preserve"> согласии на совершении</w:t>
      </w:r>
      <w:r w:rsidRPr="00E806E9">
        <w:rPr>
          <w:rFonts w:ascii="Verdana" w:hAnsi="Verdana" w:cs="Verdana"/>
          <w:smallCaps/>
        </w:rPr>
        <w:t xml:space="preserve"> сдел</w:t>
      </w:r>
      <w:r w:rsidRPr="00E806E9">
        <w:rPr>
          <w:rFonts w:ascii="Verdana" w:hAnsi="Verdana" w:cs="Verdana"/>
          <w:smallCaps/>
        </w:rPr>
        <w:t>ки</w:t>
      </w:r>
      <w:r w:rsidRPr="00E806E9">
        <w:rPr>
          <w:rFonts w:ascii="Verdana" w:hAnsi="Verdana" w:cs="Verdana"/>
          <w:smallCaps/>
        </w:rPr>
        <w:t>, признаваем</w:t>
      </w:r>
      <w:r w:rsidRPr="00E806E9">
        <w:rPr>
          <w:rFonts w:ascii="Verdana" w:hAnsi="Verdana" w:cs="Verdana"/>
          <w:smallCaps/>
        </w:rPr>
        <w:t>ой</w:t>
      </w:r>
      <w:r w:rsidRPr="00E806E9">
        <w:rPr>
          <w:rFonts w:ascii="Verdana" w:hAnsi="Verdana" w:cs="Verdana"/>
          <w:smallCaps/>
        </w:rPr>
        <w:t xml:space="preserve"> в соответствии с законодательством РФ сделк</w:t>
      </w:r>
      <w:r w:rsidRPr="00E806E9">
        <w:rPr>
          <w:rFonts w:ascii="Verdana" w:hAnsi="Verdana" w:cs="Verdana"/>
          <w:smallCaps/>
        </w:rPr>
        <w:t>ой</w:t>
      </w:r>
      <w:r w:rsidRPr="00E806E9">
        <w:rPr>
          <w:rFonts w:ascii="Verdana" w:hAnsi="Verdana" w:cs="Verdana"/>
          <w:smallCaps/>
        </w:rPr>
        <w:t>, в совершении котор</w:t>
      </w:r>
      <w:r w:rsidRPr="00E806E9">
        <w:rPr>
          <w:rFonts w:ascii="Verdana" w:hAnsi="Verdana" w:cs="Verdana"/>
          <w:smallCaps/>
        </w:rPr>
        <w:t>ой</w:t>
      </w:r>
      <w:r w:rsidRPr="00E806E9">
        <w:rPr>
          <w:rFonts w:ascii="Verdana" w:hAnsi="Verdana" w:cs="Verdana"/>
          <w:smallCaps/>
        </w:rPr>
        <w:t xml:space="preserve"> имеется заинтересованность</w:t>
      </w:r>
    </w:p>
    <w:p w:rsidR="007D2F5D" w:rsidRDefault="007D2F5D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D93EDB" w:rsidRPr="003715A4" w:rsidRDefault="00D93EDB" w:rsidP="00D93EDB">
      <w:pPr>
        <w:pStyle w:val="a3"/>
        <w:spacing w:after="120"/>
        <w:jc w:val="center"/>
        <w:rPr>
          <w:rFonts w:ascii="Verdana" w:hAnsi="Verdana" w:cs="Verdana"/>
          <w:sz w:val="17"/>
          <w:szCs w:val="17"/>
        </w:rPr>
      </w:pPr>
      <w:r w:rsidRPr="003715A4">
        <w:rPr>
          <w:rFonts w:ascii="Verdana" w:hAnsi="Verdana" w:cs="Verdana"/>
          <w:sz w:val="17"/>
          <w:szCs w:val="17"/>
        </w:rPr>
        <w:t>1. Общие сведения</w:t>
      </w:r>
    </w:p>
    <w:p w:rsidR="00D93EDB" w:rsidRPr="003715A4" w:rsidRDefault="00D93EDB" w:rsidP="00D93EDB">
      <w:pPr>
        <w:pStyle w:val="a3"/>
        <w:spacing w:after="120"/>
        <w:jc w:val="both"/>
        <w:rPr>
          <w:rFonts w:ascii="Verdana" w:hAnsi="Verdana" w:cs="Verdana"/>
          <w:sz w:val="17"/>
          <w:szCs w:val="17"/>
        </w:rPr>
      </w:pPr>
      <w:r w:rsidRPr="003715A4">
        <w:rPr>
          <w:rFonts w:ascii="Verdana" w:hAnsi="Verdana" w:cs="Verdana"/>
          <w:sz w:val="17"/>
          <w:szCs w:val="17"/>
        </w:rPr>
        <w:t xml:space="preserve">1.1. Полное фирменное наименование эмитента: </w:t>
      </w:r>
      <w:r w:rsidRPr="003715A4">
        <w:rPr>
          <w:rFonts w:ascii="Verdana" w:hAnsi="Verdana" w:cs="Verdana"/>
          <w:b/>
          <w:bCs/>
          <w:sz w:val="17"/>
          <w:szCs w:val="17"/>
        </w:rPr>
        <w:t>Акционерное общество «Судоходная компания «Волжское пароходство».</w:t>
      </w:r>
    </w:p>
    <w:p w:rsidR="00D93EDB" w:rsidRPr="003715A4" w:rsidRDefault="00D93EDB" w:rsidP="00D93EDB">
      <w:pPr>
        <w:pStyle w:val="a3"/>
        <w:spacing w:after="120"/>
        <w:jc w:val="both"/>
        <w:rPr>
          <w:rFonts w:ascii="Verdana" w:hAnsi="Verdana" w:cs="Verdana"/>
          <w:sz w:val="17"/>
          <w:szCs w:val="17"/>
        </w:rPr>
      </w:pPr>
      <w:r w:rsidRPr="003715A4">
        <w:rPr>
          <w:rFonts w:ascii="Verdana" w:hAnsi="Verdana" w:cs="Verdana"/>
          <w:sz w:val="17"/>
          <w:szCs w:val="17"/>
        </w:rPr>
        <w:t xml:space="preserve">1.2. Сокращенное наименование эмитента: </w:t>
      </w:r>
      <w:r w:rsidRPr="003715A4">
        <w:rPr>
          <w:rFonts w:ascii="Verdana" w:hAnsi="Verdana" w:cs="Verdana"/>
          <w:b/>
          <w:bCs/>
          <w:sz w:val="17"/>
          <w:szCs w:val="17"/>
        </w:rPr>
        <w:t>АО «Волга-флот».</w:t>
      </w:r>
    </w:p>
    <w:p w:rsidR="00D93EDB" w:rsidRPr="003715A4" w:rsidRDefault="00D93EDB" w:rsidP="00D93EDB">
      <w:pPr>
        <w:pStyle w:val="a3"/>
        <w:spacing w:after="120"/>
        <w:jc w:val="both"/>
        <w:rPr>
          <w:rFonts w:ascii="Verdana" w:hAnsi="Verdana" w:cs="Verdana"/>
          <w:sz w:val="17"/>
          <w:szCs w:val="17"/>
        </w:rPr>
      </w:pPr>
      <w:r w:rsidRPr="003715A4">
        <w:rPr>
          <w:rFonts w:ascii="Verdana" w:hAnsi="Verdana" w:cs="Verdana"/>
          <w:sz w:val="17"/>
          <w:szCs w:val="17"/>
        </w:rPr>
        <w:t xml:space="preserve">1.3. Место нахождения эмитента: </w:t>
      </w:r>
      <w:r w:rsidRPr="003715A4">
        <w:rPr>
          <w:rFonts w:ascii="Verdana" w:hAnsi="Verdana" w:cs="Verdana"/>
          <w:b/>
          <w:bCs/>
          <w:sz w:val="17"/>
          <w:szCs w:val="17"/>
        </w:rPr>
        <w:t>603001, Российская Федерация, г. Нижний Новгород, пл. Маркина, д.15А.</w:t>
      </w:r>
    </w:p>
    <w:p w:rsidR="00D93EDB" w:rsidRPr="003715A4" w:rsidRDefault="00D93EDB" w:rsidP="00D93EDB">
      <w:pPr>
        <w:pStyle w:val="a3"/>
        <w:spacing w:after="120"/>
        <w:jc w:val="both"/>
        <w:rPr>
          <w:rFonts w:ascii="Verdana" w:hAnsi="Verdana" w:cs="Verdana"/>
          <w:sz w:val="17"/>
          <w:szCs w:val="17"/>
        </w:rPr>
      </w:pPr>
      <w:r w:rsidRPr="003715A4">
        <w:rPr>
          <w:rFonts w:ascii="Verdana" w:hAnsi="Verdana" w:cs="Verdana"/>
          <w:sz w:val="17"/>
          <w:szCs w:val="17"/>
        </w:rPr>
        <w:t xml:space="preserve">1.4. ОГРН эмитента: </w:t>
      </w:r>
      <w:r w:rsidRPr="003715A4">
        <w:rPr>
          <w:rFonts w:ascii="Verdana" w:hAnsi="Verdana" w:cs="Verdana"/>
          <w:b/>
          <w:bCs/>
          <w:sz w:val="17"/>
          <w:szCs w:val="17"/>
        </w:rPr>
        <w:t>1025203016717.</w:t>
      </w:r>
    </w:p>
    <w:p w:rsidR="00D93EDB" w:rsidRPr="003715A4" w:rsidRDefault="00D93EDB" w:rsidP="00D93EDB">
      <w:pPr>
        <w:pStyle w:val="a3"/>
        <w:spacing w:after="120"/>
        <w:jc w:val="both"/>
        <w:rPr>
          <w:rFonts w:ascii="Verdana" w:hAnsi="Verdana" w:cs="Verdana"/>
          <w:sz w:val="17"/>
          <w:szCs w:val="17"/>
        </w:rPr>
      </w:pPr>
      <w:r w:rsidRPr="003715A4">
        <w:rPr>
          <w:rFonts w:ascii="Verdana" w:hAnsi="Verdana" w:cs="Verdana"/>
          <w:sz w:val="17"/>
          <w:szCs w:val="17"/>
        </w:rPr>
        <w:t xml:space="preserve">1.5. ИНН эмитента: </w:t>
      </w:r>
      <w:r w:rsidRPr="003715A4">
        <w:rPr>
          <w:rFonts w:ascii="Verdana" w:hAnsi="Verdana" w:cs="Verdana"/>
          <w:b/>
          <w:bCs/>
          <w:sz w:val="17"/>
          <w:szCs w:val="17"/>
        </w:rPr>
        <w:t>5260902190.</w:t>
      </w:r>
    </w:p>
    <w:p w:rsidR="00D93EDB" w:rsidRPr="003715A4" w:rsidRDefault="00D93EDB" w:rsidP="00D93EDB">
      <w:pPr>
        <w:pStyle w:val="a3"/>
        <w:spacing w:after="120"/>
        <w:jc w:val="both"/>
        <w:rPr>
          <w:rFonts w:ascii="Verdana" w:hAnsi="Verdana" w:cs="Verdana"/>
          <w:sz w:val="17"/>
          <w:szCs w:val="17"/>
        </w:rPr>
      </w:pPr>
      <w:r w:rsidRPr="003715A4">
        <w:rPr>
          <w:rFonts w:ascii="Verdana" w:hAnsi="Verdana" w:cs="Verdana"/>
          <w:sz w:val="17"/>
          <w:szCs w:val="17"/>
        </w:rPr>
        <w:t xml:space="preserve">1.6. Уникальный код эмитента, присвоенный регистрирующим органом: </w:t>
      </w:r>
      <w:r w:rsidRPr="003715A4">
        <w:rPr>
          <w:rFonts w:ascii="Verdana" w:hAnsi="Verdana" w:cs="Verdana"/>
          <w:b/>
          <w:bCs/>
          <w:sz w:val="17"/>
          <w:szCs w:val="17"/>
        </w:rPr>
        <w:t>00023-A.</w:t>
      </w:r>
    </w:p>
    <w:p w:rsidR="00D93EDB" w:rsidRPr="003715A4" w:rsidRDefault="00D93EDB" w:rsidP="00D93EDB">
      <w:pPr>
        <w:pStyle w:val="a3"/>
        <w:spacing w:after="120"/>
        <w:jc w:val="both"/>
        <w:rPr>
          <w:rFonts w:ascii="Verdana" w:hAnsi="Verdana" w:cs="Verdana"/>
          <w:b/>
          <w:bCs/>
          <w:sz w:val="17"/>
          <w:szCs w:val="17"/>
        </w:rPr>
      </w:pPr>
      <w:r w:rsidRPr="003715A4">
        <w:rPr>
          <w:rFonts w:ascii="Verdana" w:hAnsi="Verdana" w:cs="Verdana"/>
          <w:sz w:val="17"/>
          <w:szCs w:val="17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3715A4">
          <w:rPr>
            <w:rStyle w:val="a5"/>
            <w:rFonts w:ascii="Verdana" w:hAnsi="Verdana" w:cs="Verdana"/>
            <w:b/>
            <w:bCs/>
            <w:sz w:val="17"/>
            <w:szCs w:val="17"/>
            <w:lang w:val="en-US"/>
          </w:rPr>
          <w:t>http</w:t>
        </w:r>
        <w:r w:rsidRPr="003715A4">
          <w:rPr>
            <w:rStyle w:val="a5"/>
            <w:rFonts w:ascii="Verdana" w:hAnsi="Verdana" w:cs="Verdana"/>
            <w:b/>
            <w:bCs/>
            <w:sz w:val="17"/>
            <w:szCs w:val="17"/>
          </w:rPr>
          <w:t>://</w:t>
        </w:r>
        <w:r w:rsidRPr="003715A4">
          <w:rPr>
            <w:rStyle w:val="a5"/>
            <w:rFonts w:ascii="Verdana" w:hAnsi="Verdana" w:cs="Verdana"/>
            <w:b/>
            <w:bCs/>
            <w:sz w:val="17"/>
            <w:szCs w:val="17"/>
            <w:lang w:val="en-US"/>
          </w:rPr>
          <w:t>www</w:t>
        </w:r>
        <w:r w:rsidRPr="003715A4">
          <w:rPr>
            <w:rStyle w:val="a5"/>
            <w:rFonts w:ascii="Verdana" w:hAnsi="Verdana" w:cs="Verdana"/>
            <w:b/>
            <w:bCs/>
            <w:sz w:val="17"/>
            <w:szCs w:val="17"/>
          </w:rPr>
          <w:t>.</w:t>
        </w:r>
        <w:r w:rsidRPr="003715A4">
          <w:rPr>
            <w:rStyle w:val="a5"/>
            <w:rFonts w:ascii="Verdana" w:hAnsi="Verdana" w:cs="Verdana"/>
            <w:b/>
            <w:bCs/>
            <w:sz w:val="17"/>
            <w:szCs w:val="17"/>
            <w:lang w:val="en-US"/>
          </w:rPr>
          <w:t>volgaflot</w:t>
        </w:r>
        <w:r w:rsidRPr="003715A4">
          <w:rPr>
            <w:rStyle w:val="a5"/>
            <w:rFonts w:ascii="Verdana" w:hAnsi="Verdana" w:cs="Verdana"/>
            <w:b/>
            <w:bCs/>
            <w:sz w:val="17"/>
            <w:szCs w:val="17"/>
          </w:rPr>
          <w:t>.</w:t>
        </w:r>
        <w:r w:rsidRPr="003715A4">
          <w:rPr>
            <w:rStyle w:val="a5"/>
            <w:rFonts w:ascii="Verdana" w:hAnsi="Verdana" w:cs="Verdana"/>
            <w:b/>
            <w:bCs/>
            <w:sz w:val="17"/>
            <w:szCs w:val="17"/>
            <w:lang w:val="en-US"/>
          </w:rPr>
          <w:t>com</w:t>
        </w:r>
        <w:r w:rsidRPr="003715A4">
          <w:rPr>
            <w:rStyle w:val="a5"/>
            <w:rFonts w:ascii="Verdana" w:hAnsi="Verdana" w:cs="Verdana"/>
            <w:b/>
            <w:bCs/>
            <w:sz w:val="17"/>
            <w:szCs w:val="17"/>
          </w:rPr>
          <w:t>/</w:t>
        </w:r>
        <w:r w:rsidRPr="003715A4">
          <w:rPr>
            <w:rStyle w:val="a5"/>
            <w:rFonts w:ascii="Verdana" w:hAnsi="Verdana" w:cs="Verdana"/>
            <w:b/>
            <w:bCs/>
            <w:sz w:val="17"/>
            <w:szCs w:val="17"/>
            <w:lang w:val="en-US"/>
          </w:rPr>
          <w:t>aktsioneram</w:t>
        </w:r>
        <w:r w:rsidRPr="003715A4">
          <w:rPr>
            <w:rStyle w:val="a5"/>
            <w:rFonts w:ascii="Verdana" w:hAnsi="Verdana" w:cs="Verdana"/>
            <w:b/>
            <w:bCs/>
            <w:sz w:val="17"/>
            <w:szCs w:val="17"/>
          </w:rPr>
          <w:t>-</w:t>
        </w:r>
        <w:r w:rsidRPr="003715A4">
          <w:rPr>
            <w:rStyle w:val="a5"/>
            <w:rFonts w:ascii="Verdana" w:hAnsi="Verdana" w:cs="Verdana"/>
            <w:b/>
            <w:bCs/>
            <w:sz w:val="17"/>
            <w:szCs w:val="17"/>
            <w:lang w:val="en-US"/>
          </w:rPr>
          <w:t>i</w:t>
        </w:r>
        <w:r w:rsidRPr="003715A4">
          <w:rPr>
            <w:rStyle w:val="a5"/>
            <w:rFonts w:ascii="Verdana" w:hAnsi="Verdana" w:cs="Verdana"/>
            <w:b/>
            <w:bCs/>
            <w:sz w:val="17"/>
            <w:szCs w:val="17"/>
          </w:rPr>
          <w:t>-</w:t>
        </w:r>
        <w:r w:rsidRPr="003715A4">
          <w:rPr>
            <w:rStyle w:val="a5"/>
            <w:rFonts w:ascii="Verdana" w:hAnsi="Verdana" w:cs="Verdana"/>
            <w:b/>
            <w:bCs/>
            <w:sz w:val="17"/>
            <w:szCs w:val="17"/>
            <w:lang w:val="en-US"/>
          </w:rPr>
          <w:t>investoram</w:t>
        </w:r>
        <w:r w:rsidRPr="003715A4">
          <w:rPr>
            <w:rStyle w:val="a5"/>
            <w:rFonts w:ascii="Verdana" w:hAnsi="Verdana" w:cs="Verdana"/>
            <w:b/>
            <w:bCs/>
            <w:sz w:val="17"/>
            <w:szCs w:val="17"/>
          </w:rPr>
          <w:t>/</w:t>
        </w:r>
        <w:r w:rsidRPr="003715A4">
          <w:rPr>
            <w:rStyle w:val="a5"/>
            <w:rFonts w:ascii="Verdana" w:hAnsi="Verdana" w:cs="Verdana"/>
            <w:b/>
            <w:bCs/>
            <w:sz w:val="17"/>
            <w:szCs w:val="17"/>
            <w:lang w:val="en-US"/>
          </w:rPr>
          <w:t>soobshcheniya</w:t>
        </w:r>
        <w:r w:rsidRPr="003715A4">
          <w:rPr>
            <w:rStyle w:val="a5"/>
            <w:rFonts w:ascii="Verdana" w:hAnsi="Verdana" w:cs="Verdana"/>
            <w:b/>
            <w:bCs/>
            <w:sz w:val="17"/>
            <w:szCs w:val="17"/>
          </w:rPr>
          <w:t>-</w:t>
        </w:r>
        <w:r w:rsidRPr="003715A4">
          <w:rPr>
            <w:rStyle w:val="a5"/>
            <w:rFonts w:ascii="Verdana" w:hAnsi="Verdana" w:cs="Verdana"/>
            <w:b/>
            <w:bCs/>
            <w:sz w:val="17"/>
            <w:szCs w:val="17"/>
            <w:lang w:val="en-US"/>
          </w:rPr>
          <w:t>o</w:t>
        </w:r>
        <w:r w:rsidRPr="003715A4">
          <w:rPr>
            <w:rStyle w:val="a5"/>
            <w:rFonts w:ascii="Verdana" w:hAnsi="Verdana" w:cs="Verdana"/>
            <w:b/>
            <w:bCs/>
            <w:sz w:val="17"/>
            <w:szCs w:val="17"/>
          </w:rPr>
          <w:t>-</w:t>
        </w:r>
        <w:r w:rsidRPr="003715A4">
          <w:rPr>
            <w:rStyle w:val="a5"/>
            <w:rFonts w:ascii="Verdana" w:hAnsi="Verdana" w:cs="Verdana"/>
            <w:b/>
            <w:bCs/>
            <w:sz w:val="17"/>
            <w:szCs w:val="17"/>
            <w:lang w:val="en-US"/>
          </w:rPr>
          <w:t>sushchestvennykh</w:t>
        </w:r>
        <w:r w:rsidRPr="003715A4">
          <w:rPr>
            <w:rStyle w:val="a5"/>
            <w:rFonts w:ascii="Verdana" w:hAnsi="Verdana" w:cs="Verdana"/>
            <w:b/>
            <w:bCs/>
            <w:sz w:val="17"/>
            <w:szCs w:val="17"/>
          </w:rPr>
          <w:t>-</w:t>
        </w:r>
        <w:r w:rsidRPr="003715A4">
          <w:rPr>
            <w:rStyle w:val="a5"/>
            <w:rFonts w:ascii="Verdana" w:hAnsi="Verdana" w:cs="Verdana"/>
            <w:b/>
            <w:bCs/>
            <w:sz w:val="17"/>
            <w:szCs w:val="17"/>
            <w:lang w:val="en-US"/>
          </w:rPr>
          <w:t>faktakh</w:t>
        </w:r>
        <w:r w:rsidRPr="003715A4">
          <w:rPr>
            <w:rStyle w:val="a5"/>
            <w:rFonts w:ascii="Verdana" w:hAnsi="Verdana" w:cs="Verdana"/>
            <w:b/>
            <w:bCs/>
            <w:sz w:val="17"/>
            <w:szCs w:val="17"/>
          </w:rPr>
          <w:t>/</w:t>
        </w:r>
      </w:hyperlink>
      <w:r w:rsidRPr="003715A4">
        <w:rPr>
          <w:rFonts w:ascii="Verdana" w:hAnsi="Verdana" w:cs="Verdana"/>
          <w:b/>
          <w:bCs/>
          <w:sz w:val="17"/>
          <w:szCs w:val="17"/>
        </w:rPr>
        <w:t xml:space="preserve">, </w:t>
      </w:r>
      <w:hyperlink r:id="rId6" w:history="1">
        <w:r w:rsidRPr="003715A4">
          <w:rPr>
            <w:rStyle w:val="a5"/>
            <w:rFonts w:ascii="Verdana" w:hAnsi="Verdana" w:cs="Verdana"/>
            <w:b/>
            <w:bCs/>
            <w:sz w:val="17"/>
            <w:szCs w:val="17"/>
          </w:rPr>
          <w:t>http://www.e-disclosure.ru/portal/company.aspx?id=288</w:t>
        </w:r>
      </w:hyperlink>
      <w:r w:rsidRPr="003715A4">
        <w:rPr>
          <w:rFonts w:ascii="Verdana" w:hAnsi="Verdana" w:cs="Verdana"/>
          <w:b/>
          <w:bCs/>
          <w:sz w:val="17"/>
          <w:szCs w:val="17"/>
        </w:rPr>
        <w:t xml:space="preserve"> </w:t>
      </w:r>
    </w:p>
    <w:p w:rsidR="00D15591" w:rsidRPr="003715A4" w:rsidRDefault="00D15591" w:rsidP="00D15591">
      <w:pPr>
        <w:pStyle w:val="a3"/>
        <w:spacing w:after="120"/>
        <w:jc w:val="center"/>
        <w:rPr>
          <w:rFonts w:ascii="Verdana" w:hAnsi="Verdana" w:cs="Verdana"/>
          <w:sz w:val="17"/>
          <w:szCs w:val="17"/>
        </w:rPr>
      </w:pPr>
      <w:r w:rsidRPr="003715A4">
        <w:rPr>
          <w:rFonts w:ascii="Verdana" w:hAnsi="Verdana" w:cs="Verdana"/>
          <w:sz w:val="17"/>
          <w:szCs w:val="17"/>
        </w:rPr>
        <w:t>2. Содержание сообщения</w:t>
      </w:r>
    </w:p>
    <w:p w:rsidR="003B1ADE" w:rsidRPr="003715A4" w:rsidRDefault="003B1ADE" w:rsidP="003B1ADE">
      <w:pPr>
        <w:autoSpaceDE w:val="0"/>
        <w:autoSpaceDN w:val="0"/>
        <w:adjustRightInd w:val="0"/>
        <w:jc w:val="both"/>
        <w:outlineLvl w:val="3"/>
        <w:rPr>
          <w:rFonts w:ascii="Verdana" w:hAnsi="Verdana" w:cs="Verdana"/>
          <w:sz w:val="17"/>
          <w:szCs w:val="17"/>
        </w:rPr>
      </w:pPr>
      <w:r w:rsidRPr="003715A4">
        <w:rPr>
          <w:rFonts w:ascii="Verdana" w:hAnsi="Verdana" w:cs="Verdana"/>
          <w:sz w:val="17"/>
          <w:szCs w:val="17"/>
        </w:rPr>
        <w:t xml:space="preserve">2.1. Кворум заседания Совета директоров Общества: </w:t>
      </w:r>
      <w:r w:rsidRPr="003715A4">
        <w:rPr>
          <w:rFonts w:ascii="Verdana" w:hAnsi="Verdana" w:cs="Verdana"/>
          <w:b/>
          <w:sz w:val="17"/>
          <w:szCs w:val="17"/>
        </w:rPr>
        <w:t xml:space="preserve">в заседании Совета директоров приняли участие </w:t>
      </w:r>
      <w:r w:rsidR="00510D1D" w:rsidRPr="003715A4">
        <w:rPr>
          <w:rFonts w:ascii="Verdana" w:hAnsi="Verdana" w:cs="Verdana"/>
          <w:b/>
          <w:sz w:val="17"/>
          <w:szCs w:val="17"/>
        </w:rPr>
        <w:t>7</w:t>
      </w:r>
      <w:r w:rsidRPr="003715A4">
        <w:rPr>
          <w:rFonts w:ascii="Verdana" w:hAnsi="Verdana" w:cs="Verdana"/>
          <w:b/>
          <w:sz w:val="17"/>
          <w:szCs w:val="17"/>
        </w:rPr>
        <w:t xml:space="preserve"> (</w:t>
      </w:r>
      <w:r w:rsidR="00510D1D" w:rsidRPr="003715A4">
        <w:rPr>
          <w:rFonts w:ascii="Verdana" w:hAnsi="Verdana" w:cs="Verdana"/>
          <w:b/>
          <w:sz w:val="17"/>
          <w:szCs w:val="17"/>
        </w:rPr>
        <w:t>Сем</w:t>
      </w:r>
      <w:r w:rsidRPr="003715A4">
        <w:rPr>
          <w:rFonts w:ascii="Verdana" w:hAnsi="Verdana" w:cs="Verdana"/>
          <w:b/>
          <w:sz w:val="17"/>
          <w:szCs w:val="17"/>
        </w:rPr>
        <w:t>ь) из 7 (Семи) членов Совета директоров.</w:t>
      </w:r>
    </w:p>
    <w:p w:rsidR="003B1ADE" w:rsidRPr="003715A4" w:rsidRDefault="003B1ADE" w:rsidP="003B1ADE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7"/>
          <w:szCs w:val="17"/>
        </w:rPr>
      </w:pPr>
      <w:r w:rsidRPr="003715A4">
        <w:rPr>
          <w:rFonts w:ascii="Verdana" w:hAnsi="Verdana" w:cs="Verdana"/>
          <w:sz w:val="17"/>
          <w:szCs w:val="17"/>
        </w:rPr>
        <w:t>Р</w:t>
      </w:r>
      <w:r w:rsidRPr="003715A4">
        <w:rPr>
          <w:rFonts w:ascii="Verdana" w:eastAsia="Calibri" w:hAnsi="Verdana" w:cs="Verdana"/>
          <w:sz w:val="17"/>
          <w:szCs w:val="17"/>
        </w:rPr>
        <w:t>езультаты голосования по вопросам:</w:t>
      </w:r>
    </w:p>
    <w:p w:rsidR="003B1ADE" w:rsidRPr="003715A4" w:rsidRDefault="003B1ADE" w:rsidP="003B1ADE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7"/>
          <w:szCs w:val="17"/>
        </w:rPr>
      </w:pPr>
    </w:p>
    <w:p w:rsidR="003B1ADE" w:rsidRPr="003715A4" w:rsidRDefault="00613A9B" w:rsidP="00613A9B">
      <w:pPr>
        <w:pStyle w:val="a8"/>
        <w:numPr>
          <w:ilvl w:val="0"/>
          <w:numId w:val="14"/>
        </w:numPr>
        <w:ind w:left="709" w:hanging="283"/>
        <w:jc w:val="both"/>
        <w:rPr>
          <w:rFonts w:ascii="Verdana" w:hAnsi="Verdana"/>
          <w:b/>
          <w:bCs/>
          <w:sz w:val="17"/>
          <w:szCs w:val="17"/>
        </w:rPr>
      </w:pPr>
      <w:r w:rsidRPr="003715A4">
        <w:rPr>
          <w:rFonts w:ascii="Verdana" w:hAnsi="Verdana"/>
          <w:b/>
          <w:bCs/>
          <w:sz w:val="17"/>
          <w:szCs w:val="17"/>
        </w:rPr>
        <w:t xml:space="preserve">О согласии на совершение сделки, в совершении которой имеется заинтересованность – Договора поручительства между Акционерным обществом «Судоходная компания «Волжское пароходство» и </w:t>
      </w:r>
      <w:r w:rsidRPr="003715A4">
        <w:rPr>
          <w:rFonts w:ascii="Verdana" w:hAnsi="Verdana"/>
          <w:b/>
          <w:sz w:val="17"/>
          <w:szCs w:val="17"/>
        </w:rPr>
        <w:t>АО «Райффайзенбанк»</w:t>
      </w:r>
      <w:r w:rsidRPr="003715A4">
        <w:rPr>
          <w:rFonts w:ascii="Verdana" w:hAnsi="Verdana"/>
          <w:b/>
          <w:bCs/>
          <w:sz w:val="17"/>
          <w:szCs w:val="17"/>
        </w:rPr>
        <w:t xml:space="preserve"> в соответствии с </w:t>
      </w:r>
      <w:r w:rsidRPr="003715A4">
        <w:rPr>
          <w:rFonts w:ascii="Verdana" w:hAnsi="Verdana"/>
          <w:b/>
          <w:sz w:val="17"/>
          <w:szCs w:val="17"/>
        </w:rPr>
        <w:t>подпунктом 28 пункта 10.2 статьи 10 Устава Общества</w:t>
      </w:r>
      <w:r w:rsidR="003B1ADE" w:rsidRPr="003715A4">
        <w:rPr>
          <w:rFonts w:ascii="Verdana" w:hAnsi="Verdana"/>
          <w:b/>
          <w:bCs/>
          <w:sz w:val="17"/>
          <w:szCs w:val="17"/>
        </w:rPr>
        <w:t>.</w:t>
      </w:r>
    </w:p>
    <w:p w:rsidR="00613A9B" w:rsidRPr="003715A4" w:rsidRDefault="00613A9B" w:rsidP="00613A9B">
      <w:pPr>
        <w:ind w:firstLine="426"/>
        <w:jc w:val="both"/>
        <w:rPr>
          <w:rFonts w:ascii="Verdana" w:hAnsi="Verdana"/>
          <w:sz w:val="17"/>
          <w:szCs w:val="17"/>
        </w:rPr>
      </w:pPr>
      <w:r w:rsidRPr="003715A4">
        <w:rPr>
          <w:rFonts w:ascii="Verdana" w:hAnsi="Verdana"/>
          <w:sz w:val="17"/>
          <w:szCs w:val="17"/>
        </w:rPr>
        <w:t xml:space="preserve">В соответствии с пунктом 2 статьи 83 Федерального закона «Об акционерных обществах», подпунктом 4 пункта 10.12 статьи 10 Устава Общества решение по данному вопросу принимается большинством голосов директоров, не заинтересованных в совершении сделки.  </w:t>
      </w:r>
    </w:p>
    <w:p w:rsidR="00613A9B" w:rsidRPr="003715A4" w:rsidRDefault="00613A9B" w:rsidP="00613A9B">
      <w:pPr>
        <w:spacing w:after="120"/>
        <w:jc w:val="both"/>
        <w:rPr>
          <w:rFonts w:ascii="Verdana" w:hAnsi="Verdana"/>
          <w:sz w:val="17"/>
          <w:szCs w:val="17"/>
        </w:rPr>
      </w:pPr>
      <w:r w:rsidRPr="003715A4">
        <w:rPr>
          <w:rFonts w:ascii="Verdana" w:hAnsi="Verdana"/>
          <w:smallCaps/>
          <w:sz w:val="17"/>
          <w:szCs w:val="17"/>
        </w:rPr>
        <w:t xml:space="preserve">Решение принято единогласно директорами, не заинтересованными в совершении сделки. </w:t>
      </w:r>
      <w:r w:rsidRPr="003715A4">
        <w:rPr>
          <w:rFonts w:ascii="Verdana" w:hAnsi="Verdana"/>
          <w:sz w:val="17"/>
          <w:szCs w:val="17"/>
        </w:rPr>
        <w:t xml:space="preserve">  </w:t>
      </w:r>
    </w:p>
    <w:p w:rsidR="003B1ADE" w:rsidRPr="003715A4" w:rsidRDefault="003B1ADE" w:rsidP="003B1ADE">
      <w:pPr>
        <w:spacing w:after="120"/>
        <w:jc w:val="both"/>
        <w:rPr>
          <w:rFonts w:ascii="Verdana" w:hAnsi="Verdana"/>
          <w:color w:val="000000"/>
          <w:sz w:val="17"/>
          <w:szCs w:val="17"/>
        </w:rPr>
      </w:pPr>
      <w:r w:rsidRPr="003715A4">
        <w:rPr>
          <w:rFonts w:ascii="Verdana" w:hAnsi="Verdana"/>
          <w:color w:val="000000"/>
          <w:sz w:val="17"/>
          <w:szCs w:val="17"/>
        </w:rPr>
        <w:t xml:space="preserve">2.2. Содержание решений, принятых Советом директоров Общества: </w:t>
      </w:r>
    </w:p>
    <w:p w:rsidR="00613A9B" w:rsidRPr="003715A4" w:rsidRDefault="003B1ADE" w:rsidP="00613A9B">
      <w:pPr>
        <w:tabs>
          <w:tab w:val="left" w:pos="567"/>
        </w:tabs>
        <w:ind w:left="142" w:right="-30" w:firstLine="425"/>
        <w:jc w:val="both"/>
        <w:rPr>
          <w:rFonts w:ascii="Verdana" w:hAnsi="Verdana"/>
          <w:b/>
          <w:sz w:val="17"/>
          <w:szCs w:val="17"/>
        </w:rPr>
      </w:pPr>
      <w:r w:rsidRPr="003715A4">
        <w:rPr>
          <w:rFonts w:ascii="Verdana" w:hAnsi="Verdana"/>
          <w:b/>
          <w:sz w:val="17"/>
          <w:szCs w:val="17"/>
        </w:rPr>
        <w:t>«</w:t>
      </w:r>
      <w:r w:rsidR="00613A9B" w:rsidRPr="003715A4">
        <w:rPr>
          <w:rFonts w:ascii="Verdana" w:hAnsi="Verdana"/>
          <w:b/>
          <w:sz w:val="17"/>
          <w:szCs w:val="17"/>
        </w:rPr>
        <w:t xml:space="preserve">Согласно пунктам 1 и 2 статьи 83 Федерального закона «Об акционерных обществах» и подпункту 28 пункта 10.2 статьи 10 Устава Общества принять решение о согласии на совершение сделки, в совершении которой </w:t>
      </w:r>
      <w:r w:rsidR="00613A9B" w:rsidRPr="003715A4">
        <w:rPr>
          <w:rFonts w:ascii="Verdana" w:hAnsi="Verdana"/>
          <w:b/>
          <w:bCs/>
          <w:sz w:val="17"/>
          <w:szCs w:val="17"/>
        </w:rPr>
        <w:t xml:space="preserve">имеется заинтересованность </w:t>
      </w:r>
      <w:r w:rsidR="00613A9B" w:rsidRPr="003715A4">
        <w:rPr>
          <w:rFonts w:ascii="Verdana" w:hAnsi="Verdana"/>
          <w:b/>
          <w:sz w:val="17"/>
          <w:szCs w:val="17"/>
        </w:rPr>
        <w:t xml:space="preserve">– </w:t>
      </w:r>
      <w:r w:rsidR="00613A9B" w:rsidRPr="003715A4">
        <w:rPr>
          <w:rFonts w:ascii="Verdana" w:hAnsi="Verdana"/>
          <w:b/>
          <w:bCs/>
          <w:sz w:val="17"/>
          <w:szCs w:val="17"/>
        </w:rPr>
        <w:t xml:space="preserve">Договора поручительства между Акционерным обществом «Судоходная компания «Волжское пароходство» </w:t>
      </w:r>
      <w:r w:rsidR="00613A9B" w:rsidRPr="003715A4">
        <w:rPr>
          <w:rFonts w:ascii="Verdana" w:hAnsi="Verdana"/>
          <w:b/>
          <w:sz w:val="17"/>
          <w:szCs w:val="17"/>
        </w:rPr>
        <w:t xml:space="preserve">(Общество, АО «Волга-флот», Поручитель) </w:t>
      </w:r>
      <w:r w:rsidR="00613A9B" w:rsidRPr="003715A4">
        <w:rPr>
          <w:rFonts w:ascii="Verdana" w:hAnsi="Verdana"/>
          <w:b/>
          <w:bCs/>
          <w:sz w:val="17"/>
          <w:szCs w:val="17"/>
        </w:rPr>
        <w:t xml:space="preserve">и </w:t>
      </w:r>
      <w:r w:rsidR="00613A9B" w:rsidRPr="003715A4">
        <w:rPr>
          <w:rFonts w:ascii="Verdana" w:hAnsi="Verdana"/>
          <w:b/>
          <w:sz w:val="17"/>
          <w:szCs w:val="17"/>
        </w:rPr>
        <w:t>АО «Райффайзенбанк</w:t>
      </w:r>
      <w:proofErr w:type="gramStart"/>
      <w:r w:rsidR="00613A9B" w:rsidRPr="003715A4">
        <w:rPr>
          <w:rFonts w:ascii="Verdana" w:hAnsi="Verdana"/>
          <w:b/>
          <w:sz w:val="17"/>
          <w:szCs w:val="17"/>
        </w:rPr>
        <w:t>»</w:t>
      </w:r>
      <w:proofErr w:type="gramEnd"/>
      <w:r w:rsidR="00613A9B" w:rsidRPr="003715A4">
        <w:rPr>
          <w:rFonts w:ascii="Verdana" w:hAnsi="Verdana"/>
          <w:b/>
          <w:bCs/>
          <w:sz w:val="17"/>
          <w:szCs w:val="17"/>
        </w:rPr>
        <w:t xml:space="preserve"> (Банк) </w:t>
      </w:r>
      <w:r w:rsidR="00613A9B" w:rsidRPr="003715A4">
        <w:rPr>
          <w:rFonts w:ascii="Verdana" w:hAnsi="Verdana"/>
          <w:b/>
          <w:sz w:val="17"/>
          <w:szCs w:val="17"/>
        </w:rPr>
        <w:t xml:space="preserve">на следующих существенных условиях: </w:t>
      </w:r>
    </w:p>
    <w:tbl>
      <w:tblPr>
        <w:tblW w:w="1034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773"/>
      </w:tblGrid>
      <w:tr w:rsidR="00613A9B" w:rsidRPr="003715A4" w:rsidTr="005F42C6">
        <w:trPr>
          <w:trHeight w:val="847"/>
        </w:trPr>
        <w:tc>
          <w:tcPr>
            <w:tcW w:w="10348" w:type="dxa"/>
          </w:tcPr>
          <w:tbl>
            <w:tblPr>
              <w:tblW w:w="1080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5"/>
            </w:tblGrid>
            <w:tr w:rsidR="00613A9B" w:rsidRPr="003715A4" w:rsidTr="00AB7EBC">
              <w:trPr>
                <w:trHeight w:val="337"/>
              </w:trPr>
              <w:tc>
                <w:tcPr>
                  <w:tcW w:w="10805" w:type="dxa"/>
                </w:tcPr>
                <w:p w:rsidR="00613A9B" w:rsidRPr="003715A4" w:rsidRDefault="00613A9B" w:rsidP="00AB7EBC">
                  <w:pPr>
                    <w:autoSpaceDE w:val="0"/>
                    <w:autoSpaceDN w:val="0"/>
                    <w:adjustRightInd w:val="0"/>
                    <w:ind w:left="-78" w:right="37" w:firstLine="567"/>
                    <w:jc w:val="both"/>
                    <w:rPr>
                      <w:rFonts w:ascii="Verdana" w:hAnsi="Verdana"/>
                      <w:b/>
                      <w:color w:val="000000"/>
                      <w:sz w:val="17"/>
                      <w:szCs w:val="17"/>
                    </w:rPr>
                  </w:pPr>
                  <w:r w:rsidRPr="003715A4">
                    <w:rPr>
                      <w:rFonts w:ascii="Verdana" w:hAnsi="Verdana"/>
                      <w:b/>
                      <w:i/>
                      <w:sz w:val="17"/>
                      <w:szCs w:val="17"/>
                      <w:u w:val="single"/>
                    </w:rPr>
                    <w:t>предмет Договора</w:t>
                  </w:r>
                  <w:r w:rsidRPr="003715A4">
                    <w:rPr>
                      <w:rFonts w:ascii="Verdana" w:hAnsi="Verdana"/>
                      <w:b/>
                      <w:i/>
                      <w:sz w:val="17"/>
                      <w:szCs w:val="17"/>
                    </w:rPr>
                    <w:t xml:space="preserve"> – </w:t>
                  </w:r>
                  <w:r w:rsidRPr="003715A4">
                    <w:rPr>
                      <w:rFonts w:ascii="Verdana" w:hAnsi="Verdana"/>
                      <w:b/>
                      <w:sz w:val="17"/>
                      <w:szCs w:val="17"/>
                    </w:rPr>
                    <w:t xml:space="preserve">обязательство Поручителя отвечать перед Банком за исполнение Принципалом - Акционерное общество «Окская судоверфь» (адрес: 607100, Нижегородская область, </w:t>
                  </w:r>
                  <w:proofErr w:type="spellStart"/>
                  <w:r w:rsidRPr="003715A4">
                    <w:rPr>
                      <w:rFonts w:ascii="Verdana" w:hAnsi="Verdana"/>
                      <w:b/>
                      <w:sz w:val="17"/>
                      <w:szCs w:val="17"/>
                    </w:rPr>
                    <w:t>Навашинский</w:t>
                  </w:r>
                  <w:proofErr w:type="spellEnd"/>
                  <w:r w:rsidRPr="003715A4">
                    <w:rPr>
                      <w:rFonts w:ascii="Verdana" w:hAnsi="Verdana"/>
                      <w:b/>
                      <w:sz w:val="17"/>
                      <w:szCs w:val="17"/>
                    </w:rPr>
                    <w:t xml:space="preserve"> р-н, г. Навашино, ул. Проезжая, д.4, корп.14, ОГРН 1025201636877) - всех обязательств по Соглашению о выпуске банковских гарантий № 12699-</w:t>
                  </w:r>
                  <w:r w:rsidRPr="003715A4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NNV </w:t>
                  </w:r>
                  <w:r w:rsidRPr="003715A4">
                    <w:rPr>
                      <w:rFonts w:ascii="Verdana" w:hAnsi="Verdana"/>
                      <w:b/>
                      <w:sz w:val="17"/>
                      <w:szCs w:val="17"/>
                    </w:rPr>
                    <w:t>(«</w:t>
                  </w:r>
                  <w:r w:rsidRPr="003715A4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>Соглашение»</w:t>
                  </w:r>
                  <w:r w:rsidRPr="003715A4">
                    <w:rPr>
                      <w:rFonts w:ascii="Verdana" w:hAnsi="Verdana"/>
                      <w:b/>
                      <w:sz w:val="17"/>
                      <w:szCs w:val="17"/>
                    </w:rPr>
                    <w:t>), в соответствии с которым Банк по просьбе Принципала выдает банковские гарантии со сроком действия, оканчивающимся не позднее «</w:t>
                  </w:r>
                  <w:r w:rsidRPr="003715A4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17» августа 2022 года </w:t>
                  </w:r>
                  <w:r w:rsidRPr="003715A4">
                    <w:rPr>
                      <w:rFonts w:ascii="Verdana" w:hAnsi="Verdana"/>
                      <w:b/>
                      <w:sz w:val="17"/>
                      <w:szCs w:val="17"/>
                    </w:rPr>
                    <w:t>(«</w:t>
                  </w:r>
                  <w:r w:rsidRPr="003715A4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t xml:space="preserve">Гарантии», а по отдельности «Гарантия») </w:t>
                  </w:r>
                  <w:r w:rsidRPr="003715A4">
                    <w:rPr>
                      <w:rFonts w:ascii="Verdana" w:hAnsi="Verdana"/>
                      <w:b/>
                      <w:sz w:val="17"/>
                      <w:szCs w:val="17"/>
                    </w:rPr>
                    <w:t xml:space="preserve">в пользу бенефициаров, приемлемых для Банка. Общая сумма выданных по Соглашению Гарантий, за исключением прекращенных Гарантий, в любой момент времени не может превышать </w:t>
                  </w:r>
                  <w:r w:rsidRPr="003715A4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 xml:space="preserve">420 000 000 (Четыреста двадцать миллионов) Рублей </w:t>
                  </w:r>
                  <w:r w:rsidRPr="003715A4">
                    <w:rPr>
                      <w:rFonts w:ascii="Verdana" w:hAnsi="Verdana"/>
                      <w:b/>
                      <w:color w:val="000000"/>
                      <w:sz w:val="17"/>
                      <w:szCs w:val="17"/>
                    </w:rPr>
                    <w:t>включительно или эквивалента указанной суммы в Евро/долларах США, рассчитанного по курсу Банка России на дату выдачи соответствующей Гарантии.</w:t>
                  </w:r>
                </w:p>
              </w:tc>
            </w:tr>
          </w:tbl>
          <w:p w:rsidR="00613A9B" w:rsidRPr="003715A4" w:rsidRDefault="00613A9B" w:rsidP="005F42C6">
            <w:pPr>
              <w:pStyle w:val="Default"/>
              <w:tabs>
                <w:tab w:val="left" w:pos="166"/>
                <w:tab w:val="left" w:pos="4428"/>
              </w:tabs>
              <w:ind w:right="180" w:firstLine="567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613A9B" w:rsidRPr="003715A4" w:rsidTr="005F42C6">
        <w:trPr>
          <w:trHeight w:val="687"/>
        </w:trPr>
        <w:tc>
          <w:tcPr>
            <w:tcW w:w="10348" w:type="dxa"/>
          </w:tcPr>
          <w:p w:rsidR="00613A9B" w:rsidRPr="003715A4" w:rsidRDefault="00613A9B" w:rsidP="005F42C6">
            <w:pPr>
              <w:pStyle w:val="a8"/>
              <w:tabs>
                <w:tab w:val="left" w:pos="166"/>
              </w:tabs>
              <w:autoSpaceDE w:val="0"/>
              <w:autoSpaceDN w:val="0"/>
              <w:adjustRightInd w:val="0"/>
              <w:ind w:left="0" w:right="-82" w:firstLine="352"/>
              <w:jc w:val="both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3715A4">
              <w:rPr>
                <w:rFonts w:ascii="Verdana" w:hAnsi="Verdana"/>
                <w:b/>
                <w:color w:val="000000"/>
                <w:sz w:val="17"/>
                <w:szCs w:val="17"/>
              </w:rPr>
              <w:t>Поручитель несет солидарную с Принципалом ответственность перед Банком за своевременное и надлежащее исполнение всех обязательств Принципала (включая всех правопреемников Принципала) по Соглашению, в частности, обязательств по возмещению Банку всех сумм, уплаченных Банком бенефициару (-</w:t>
            </w:r>
            <w:proofErr w:type="spellStart"/>
            <w:r w:rsidRPr="003715A4">
              <w:rPr>
                <w:rFonts w:ascii="Verdana" w:hAnsi="Verdana"/>
                <w:b/>
                <w:color w:val="000000"/>
                <w:sz w:val="17"/>
                <w:szCs w:val="17"/>
              </w:rPr>
              <w:t>ам</w:t>
            </w:r>
            <w:proofErr w:type="spellEnd"/>
            <w:r w:rsidRPr="003715A4">
              <w:rPr>
                <w:rFonts w:ascii="Verdana" w:hAnsi="Verdana"/>
                <w:b/>
                <w:color w:val="000000"/>
                <w:sz w:val="17"/>
                <w:szCs w:val="17"/>
              </w:rPr>
              <w:t>) по Гарантиям (-</w:t>
            </w:r>
            <w:proofErr w:type="spellStart"/>
            <w:r w:rsidRPr="003715A4">
              <w:rPr>
                <w:rFonts w:ascii="Verdana" w:hAnsi="Verdana"/>
                <w:b/>
                <w:color w:val="000000"/>
                <w:sz w:val="17"/>
                <w:szCs w:val="17"/>
              </w:rPr>
              <w:t>ии</w:t>
            </w:r>
            <w:proofErr w:type="spellEnd"/>
            <w:r w:rsidRPr="003715A4">
              <w:rPr>
                <w:rFonts w:ascii="Verdana" w:hAnsi="Verdana"/>
                <w:b/>
                <w:color w:val="000000"/>
                <w:sz w:val="17"/>
                <w:szCs w:val="17"/>
              </w:rPr>
              <w:t>), по уплате комиссий за выпуск Гарантий (-</w:t>
            </w:r>
            <w:proofErr w:type="spellStart"/>
            <w:r w:rsidRPr="003715A4">
              <w:rPr>
                <w:rFonts w:ascii="Verdana" w:hAnsi="Verdana"/>
                <w:b/>
                <w:color w:val="000000"/>
                <w:sz w:val="17"/>
                <w:szCs w:val="17"/>
              </w:rPr>
              <w:t>ии</w:t>
            </w:r>
            <w:proofErr w:type="spellEnd"/>
            <w:r w:rsidRPr="003715A4">
              <w:rPr>
                <w:rFonts w:ascii="Verdana" w:hAnsi="Verdana"/>
                <w:b/>
                <w:color w:val="000000"/>
                <w:sz w:val="17"/>
                <w:szCs w:val="17"/>
              </w:rPr>
              <w:t>), по уплате иных комиссионных вознаграждений, по уплате неустоек, возмещению расходов и других убытков Банка, а также всех прочих сумм, причитающихся Банку по Соглашению («О</w:t>
            </w:r>
            <w:r w:rsidRPr="003715A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беспечиваемые Обязательства»</w:t>
            </w:r>
            <w:r w:rsidRPr="003715A4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), в установленный срок, по требованию и в иных случаях, когда эти суммы подлежат уплате. Поручитель также отвечает за возмещение Банку сумм неосновательного обогащения, полученного Принципалом вследствие признания Соглашения незаключенным, и возврат сумм, вследствие применения последствий недействительности Соглашения. </w:t>
            </w:r>
          </w:p>
          <w:p w:rsidR="00613A9B" w:rsidRPr="003715A4" w:rsidRDefault="00613A9B" w:rsidP="005F42C6">
            <w:pPr>
              <w:pStyle w:val="a8"/>
              <w:tabs>
                <w:tab w:val="left" w:pos="166"/>
              </w:tabs>
              <w:autoSpaceDE w:val="0"/>
              <w:autoSpaceDN w:val="0"/>
              <w:adjustRightInd w:val="0"/>
              <w:ind w:left="0" w:right="-82" w:firstLine="352"/>
              <w:jc w:val="both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3715A4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Договор поручительства вступает в силу </w:t>
            </w:r>
            <w:r w:rsidRPr="003715A4">
              <w:rPr>
                <w:rFonts w:ascii="Verdana" w:hAnsi="Verdana"/>
                <w:b/>
                <w:spacing w:val="-3"/>
                <w:sz w:val="17"/>
                <w:szCs w:val="17"/>
              </w:rPr>
              <w:t>с даты подписания его последней из Сторон и</w:t>
            </w:r>
            <w:r w:rsidRPr="003715A4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</w:t>
            </w:r>
            <w:r w:rsidRPr="003715A4">
              <w:rPr>
                <w:rFonts w:ascii="Verdana" w:hAnsi="Verdana"/>
                <w:b/>
                <w:spacing w:val="-3"/>
                <w:sz w:val="17"/>
                <w:szCs w:val="17"/>
              </w:rPr>
              <w:t>действует</w:t>
            </w:r>
            <w:r w:rsidRPr="003715A4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3715A4">
              <w:rPr>
                <w:rFonts w:ascii="Verdana" w:hAnsi="Verdana"/>
                <w:b/>
                <w:spacing w:val="-3"/>
                <w:sz w:val="17"/>
                <w:szCs w:val="17"/>
              </w:rPr>
              <w:t>до даты истечения трехлетнего срока с момента наступления срока исполнения обеспеченного данным поручительством обязательства.</w:t>
            </w:r>
          </w:p>
        </w:tc>
      </w:tr>
    </w:tbl>
    <w:p w:rsidR="00613A9B" w:rsidRPr="003715A4" w:rsidRDefault="00613A9B" w:rsidP="00613A9B">
      <w:pPr>
        <w:tabs>
          <w:tab w:val="left" w:pos="166"/>
          <w:tab w:val="left" w:pos="851"/>
          <w:tab w:val="left" w:pos="885"/>
        </w:tabs>
        <w:ind w:left="142" w:firstLine="352"/>
        <w:jc w:val="both"/>
        <w:rPr>
          <w:rFonts w:ascii="Verdana" w:hAnsi="Verdana"/>
          <w:b/>
          <w:sz w:val="17"/>
          <w:szCs w:val="17"/>
        </w:rPr>
      </w:pPr>
      <w:r w:rsidRPr="003715A4">
        <w:rPr>
          <w:rFonts w:ascii="Verdana" w:hAnsi="Verdana"/>
          <w:b/>
          <w:sz w:val="17"/>
          <w:szCs w:val="17"/>
          <w:u w:val="single"/>
        </w:rPr>
        <w:t>цена Договора</w:t>
      </w:r>
      <w:r w:rsidRPr="003715A4">
        <w:rPr>
          <w:rFonts w:ascii="Verdana" w:hAnsi="Verdana"/>
          <w:b/>
          <w:sz w:val="17"/>
          <w:szCs w:val="17"/>
        </w:rPr>
        <w:t xml:space="preserve">: </w:t>
      </w:r>
      <w:r w:rsidRPr="003715A4">
        <w:rPr>
          <w:rFonts w:ascii="Verdana" w:hAnsi="Verdana"/>
          <w:b/>
          <w:bCs/>
          <w:color w:val="000000"/>
          <w:sz w:val="17"/>
          <w:szCs w:val="17"/>
        </w:rPr>
        <w:t xml:space="preserve">Общая сумма гарантий не более 420 000 000 (Четыреста двадцать миллионов) Рублей </w:t>
      </w:r>
      <w:r w:rsidRPr="003715A4">
        <w:rPr>
          <w:rFonts w:ascii="Verdana" w:hAnsi="Verdana"/>
          <w:b/>
          <w:color w:val="000000"/>
          <w:sz w:val="17"/>
          <w:szCs w:val="17"/>
        </w:rPr>
        <w:t xml:space="preserve">включительно или эквивалента указанной суммы в Евро/долларах США, рассчитанного по курсу Банка России на Дату выдачи соответствующей Гарантии. </w:t>
      </w:r>
      <w:r w:rsidRPr="003715A4">
        <w:rPr>
          <w:rFonts w:ascii="Verdana" w:hAnsi="Verdana"/>
          <w:b/>
          <w:sz w:val="17"/>
          <w:szCs w:val="17"/>
        </w:rPr>
        <w:t xml:space="preserve">Принципал также уплачивает Гаранту комиссию за выпуск Гарантии в размере 0,23 % (Ноля целых и двадцати трех сотых процента) годовых от суммы Гарантии, исходя из фактического количества дней, с Даты выдачи Гарантии до последней даты Срока истечения Гарантии включительно, но не менее 200 (Двести) долларов США или эквивалента данной суммы в Российских рублях, рассчитанного по курсу Банка России на дату уплаты. Банк вправе в </w:t>
      </w:r>
      <w:r w:rsidRPr="003715A4">
        <w:rPr>
          <w:rFonts w:ascii="Verdana" w:hAnsi="Verdana"/>
          <w:b/>
          <w:sz w:val="17"/>
          <w:szCs w:val="17"/>
        </w:rPr>
        <w:lastRenderedPageBreak/>
        <w:t>одностороннем порядке увеличить размер указанной выше комиссии в случаях и в порядке, предусмотренных в Соглашении.</w:t>
      </w:r>
    </w:p>
    <w:p w:rsidR="00613A9B" w:rsidRPr="003715A4" w:rsidRDefault="00613A9B" w:rsidP="00613A9B">
      <w:pPr>
        <w:pStyle w:val="a9"/>
        <w:spacing w:after="0"/>
        <w:ind w:left="142"/>
        <w:jc w:val="both"/>
        <w:rPr>
          <w:rFonts w:ascii="Verdana" w:hAnsi="Verdana"/>
          <w:b/>
          <w:sz w:val="17"/>
          <w:szCs w:val="17"/>
          <w:u w:val="single"/>
        </w:rPr>
      </w:pPr>
      <w:r w:rsidRPr="003715A4">
        <w:rPr>
          <w:rFonts w:ascii="Verdana" w:hAnsi="Verdana"/>
          <w:b/>
          <w:sz w:val="17"/>
          <w:szCs w:val="17"/>
          <w:u w:val="single"/>
        </w:rPr>
        <w:t>Соглашение о выпуске банковских гарантий № 12699-</w:t>
      </w:r>
      <w:r w:rsidRPr="003715A4">
        <w:rPr>
          <w:rFonts w:ascii="Verdana" w:hAnsi="Verdana"/>
          <w:b/>
          <w:bCs/>
          <w:sz w:val="17"/>
          <w:szCs w:val="17"/>
          <w:u w:val="single"/>
        </w:rPr>
        <w:t>NNV</w:t>
      </w:r>
      <w:r w:rsidRPr="003715A4">
        <w:rPr>
          <w:rFonts w:ascii="Verdana" w:hAnsi="Verdana"/>
          <w:b/>
          <w:sz w:val="17"/>
          <w:szCs w:val="17"/>
          <w:u w:val="single"/>
        </w:rPr>
        <w:t xml:space="preserve"> заключено на следующих существенных условиях:</w:t>
      </w:r>
    </w:p>
    <w:tbl>
      <w:tblPr>
        <w:tblW w:w="1077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773"/>
      </w:tblGrid>
      <w:tr w:rsidR="00613A9B" w:rsidRPr="003715A4" w:rsidTr="00AB7EBC">
        <w:trPr>
          <w:trHeight w:val="1009"/>
        </w:trPr>
        <w:tc>
          <w:tcPr>
            <w:tcW w:w="10773" w:type="dxa"/>
          </w:tcPr>
          <w:p w:rsidR="00613A9B" w:rsidRPr="003715A4" w:rsidRDefault="00613A9B" w:rsidP="005F42C6">
            <w:pPr>
              <w:pStyle w:val="Default"/>
              <w:ind w:right="-32" w:firstLine="462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3715A4">
              <w:rPr>
                <w:rFonts w:ascii="Verdana" w:hAnsi="Verdana"/>
                <w:b/>
                <w:sz w:val="17"/>
                <w:szCs w:val="17"/>
              </w:rPr>
              <w:t xml:space="preserve">Банк в соответствии с условиями Соглашения выдает по просьбе Принципала тендерные гарантии, гарантии исполнения контракта, гарантии в пользу налоговых органов (за исключением гарантий возврата НДС), гарантии в пользу таможенных органов, гарантии платежа, гарантии возврата авансового платежа, гарантии выполнения обязательств в гарантийный период, включая </w:t>
            </w:r>
            <w:proofErr w:type="spellStart"/>
            <w:r w:rsidRPr="003715A4">
              <w:rPr>
                <w:rFonts w:ascii="Verdana" w:hAnsi="Verdana"/>
                <w:b/>
                <w:sz w:val="17"/>
                <w:szCs w:val="17"/>
              </w:rPr>
              <w:t>контргарантии</w:t>
            </w:r>
            <w:proofErr w:type="spellEnd"/>
            <w:r w:rsidRPr="003715A4">
              <w:rPr>
                <w:rFonts w:ascii="Verdana" w:hAnsi="Verdana"/>
                <w:b/>
                <w:sz w:val="17"/>
                <w:szCs w:val="17"/>
              </w:rPr>
              <w:t>, соответствующие указанным типам гарантий ( «</w:t>
            </w:r>
            <w:r w:rsidRPr="003715A4">
              <w:rPr>
                <w:rFonts w:ascii="Verdana" w:hAnsi="Verdana"/>
                <w:b/>
                <w:bCs/>
                <w:sz w:val="17"/>
                <w:szCs w:val="17"/>
              </w:rPr>
              <w:t>Гарантии</w:t>
            </w:r>
            <w:r w:rsidRPr="003715A4">
              <w:rPr>
                <w:rFonts w:ascii="Verdana" w:hAnsi="Verdana"/>
                <w:b/>
                <w:sz w:val="17"/>
                <w:szCs w:val="17"/>
              </w:rPr>
              <w:t>», а по отдельности «</w:t>
            </w:r>
            <w:r w:rsidRPr="003715A4">
              <w:rPr>
                <w:rFonts w:ascii="Verdana" w:hAnsi="Verdana"/>
                <w:b/>
                <w:bCs/>
                <w:sz w:val="17"/>
                <w:szCs w:val="17"/>
              </w:rPr>
              <w:t>Гарантия</w:t>
            </w:r>
            <w:r w:rsidRPr="003715A4">
              <w:rPr>
                <w:rFonts w:ascii="Verdana" w:hAnsi="Verdana"/>
                <w:b/>
                <w:sz w:val="17"/>
                <w:szCs w:val="17"/>
              </w:rPr>
              <w:t xml:space="preserve">») на сумму </w:t>
            </w:r>
            <w:r w:rsidRPr="003715A4">
              <w:rPr>
                <w:rFonts w:ascii="Verdana" w:hAnsi="Verdana"/>
                <w:b/>
                <w:bCs/>
                <w:sz w:val="17"/>
                <w:szCs w:val="17"/>
              </w:rPr>
              <w:t xml:space="preserve">420 000 000 (Четыреста двадцать миллионов) Рублей </w:t>
            </w:r>
            <w:r w:rsidRPr="003715A4">
              <w:rPr>
                <w:rFonts w:ascii="Verdana" w:hAnsi="Verdana"/>
                <w:b/>
                <w:sz w:val="17"/>
                <w:szCs w:val="17"/>
              </w:rPr>
              <w:t>включительно или эквивалента указанной суммы в Евро/долларах США, рассчитанного по курсу Банка России на дату выдачи соответствующей Гарантии (в пользу бенефициаров, приемлемых для Банка, ( «</w:t>
            </w:r>
            <w:r w:rsidRPr="003715A4">
              <w:rPr>
                <w:rFonts w:ascii="Verdana" w:hAnsi="Verdana"/>
                <w:b/>
                <w:bCs/>
                <w:sz w:val="17"/>
                <w:szCs w:val="17"/>
              </w:rPr>
              <w:t>Бенефициары</w:t>
            </w:r>
            <w:r w:rsidRPr="003715A4">
              <w:rPr>
                <w:rFonts w:ascii="Verdana" w:hAnsi="Verdana"/>
                <w:b/>
                <w:sz w:val="17"/>
                <w:szCs w:val="17"/>
              </w:rPr>
              <w:t>», а по отдельности - «</w:t>
            </w:r>
            <w:r w:rsidRPr="003715A4">
              <w:rPr>
                <w:rFonts w:ascii="Verdana" w:hAnsi="Verdana"/>
                <w:b/>
                <w:bCs/>
                <w:sz w:val="17"/>
                <w:szCs w:val="17"/>
              </w:rPr>
              <w:t>Бенефициар</w:t>
            </w:r>
            <w:r w:rsidRPr="003715A4">
              <w:rPr>
                <w:rFonts w:ascii="Verdana" w:hAnsi="Verdana"/>
                <w:b/>
                <w:sz w:val="17"/>
                <w:szCs w:val="17"/>
              </w:rPr>
              <w:t xml:space="preserve">») в целях обеспечения обязательств Принципала перед Бенефициаром по договорам/соглашениям/контрактам/иным видам обязательств, приемлемым для Банка. </w:t>
            </w:r>
          </w:p>
        </w:tc>
      </w:tr>
      <w:tr w:rsidR="00613A9B" w:rsidRPr="003715A4" w:rsidTr="00AB7EBC">
        <w:trPr>
          <w:trHeight w:val="320"/>
        </w:trPr>
        <w:tc>
          <w:tcPr>
            <w:tcW w:w="10773" w:type="dxa"/>
          </w:tcPr>
          <w:p w:rsidR="00613A9B" w:rsidRPr="003715A4" w:rsidRDefault="00613A9B" w:rsidP="005F42C6">
            <w:pPr>
              <w:pStyle w:val="Default"/>
              <w:ind w:right="-32" w:firstLine="462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3715A4">
              <w:rPr>
                <w:rFonts w:ascii="Verdana" w:hAnsi="Verdana"/>
                <w:b/>
                <w:sz w:val="17"/>
                <w:szCs w:val="17"/>
              </w:rPr>
              <w:t xml:space="preserve">Под </w:t>
            </w:r>
            <w:proofErr w:type="spellStart"/>
            <w:r w:rsidRPr="003715A4">
              <w:rPr>
                <w:rFonts w:ascii="Verdana" w:hAnsi="Verdana"/>
                <w:b/>
                <w:sz w:val="17"/>
                <w:szCs w:val="17"/>
              </w:rPr>
              <w:t>контргарантиями</w:t>
            </w:r>
            <w:proofErr w:type="spellEnd"/>
            <w:r w:rsidRPr="003715A4">
              <w:rPr>
                <w:rFonts w:ascii="Verdana" w:hAnsi="Verdana"/>
                <w:b/>
                <w:sz w:val="17"/>
                <w:szCs w:val="17"/>
              </w:rPr>
              <w:t xml:space="preserve"> понимаются Гарантии, Бенефициарами по которым выступают кредитные организации, выдаваемые с целью обеспечения гарантий, выдаваемых этими Бенефициарами в пользу других кредитных организаций, либо в пользу юридических и физических лиц - контрагентов Принципала. </w:t>
            </w:r>
          </w:p>
        </w:tc>
      </w:tr>
      <w:tr w:rsidR="00613A9B" w:rsidRPr="003715A4" w:rsidTr="00AB7EBC">
        <w:trPr>
          <w:trHeight w:val="205"/>
        </w:trPr>
        <w:tc>
          <w:tcPr>
            <w:tcW w:w="10773" w:type="dxa"/>
          </w:tcPr>
          <w:p w:rsidR="00613A9B" w:rsidRPr="003715A4" w:rsidRDefault="00613A9B" w:rsidP="005F42C6">
            <w:pPr>
              <w:pStyle w:val="Default"/>
              <w:ind w:right="-32" w:firstLine="462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3715A4">
              <w:rPr>
                <w:rFonts w:ascii="Verdana" w:hAnsi="Verdana"/>
                <w:b/>
                <w:sz w:val="17"/>
                <w:szCs w:val="17"/>
              </w:rPr>
              <w:t>Для Гарантий (</w:t>
            </w:r>
            <w:proofErr w:type="spellStart"/>
            <w:r w:rsidRPr="003715A4">
              <w:rPr>
                <w:rFonts w:ascii="Verdana" w:hAnsi="Verdana"/>
                <w:b/>
                <w:sz w:val="17"/>
                <w:szCs w:val="17"/>
              </w:rPr>
              <w:t>контргарантий</w:t>
            </w:r>
            <w:proofErr w:type="spellEnd"/>
            <w:r w:rsidRPr="003715A4">
              <w:rPr>
                <w:rFonts w:ascii="Verdana" w:hAnsi="Verdana"/>
                <w:b/>
                <w:sz w:val="17"/>
                <w:szCs w:val="17"/>
              </w:rPr>
              <w:t xml:space="preserve">) могут применяться Унифицированные Правила для Гарантий по Требованию, Редакция 2010 г., Публикация ICC № 758, если это указано в тексте Гарантии. </w:t>
            </w:r>
          </w:p>
        </w:tc>
      </w:tr>
    </w:tbl>
    <w:p w:rsidR="00732D09" w:rsidRPr="003715A4" w:rsidRDefault="00732D09" w:rsidP="00613A9B">
      <w:pPr>
        <w:pStyle w:val="Default"/>
        <w:ind w:left="142" w:firstLine="426"/>
        <w:jc w:val="both"/>
        <w:rPr>
          <w:rFonts w:ascii="Verdana" w:hAnsi="Verdana"/>
          <w:b/>
          <w:sz w:val="17"/>
          <w:szCs w:val="17"/>
        </w:rPr>
      </w:pPr>
      <w:r w:rsidRPr="003715A4">
        <w:rPr>
          <w:rFonts w:ascii="Verdana" w:hAnsi="Verdana"/>
          <w:b/>
          <w:sz w:val="17"/>
          <w:szCs w:val="17"/>
        </w:rPr>
        <w:t xml:space="preserve">Сумма Гарантии может быть выражена в российских рублях, или в долларах США, или Евро. Гарантии, платежи по которым осуществляются в иностранной валюте, выдаются при условии, если законодательство Российской Федерации о валютном регулировании и валютном контроле допускает возможность их выдачи. </w:t>
      </w:r>
    </w:p>
    <w:p w:rsidR="00732D09" w:rsidRPr="003715A4" w:rsidRDefault="00732D09" w:rsidP="00613A9B">
      <w:pPr>
        <w:pStyle w:val="Default"/>
        <w:ind w:left="142" w:firstLine="426"/>
        <w:jc w:val="both"/>
        <w:rPr>
          <w:rFonts w:ascii="Verdana" w:hAnsi="Verdana"/>
          <w:b/>
          <w:sz w:val="17"/>
          <w:szCs w:val="17"/>
        </w:rPr>
      </w:pPr>
      <w:r w:rsidRPr="003715A4">
        <w:rPr>
          <w:rFonts w:ascii="Verdana" w:hAnsi="Verdana"/>
          <w:b/>
          <w:sz w:val="17"/>
          <w:szCs w:val="17"/>
        </w:rPr>
        <w:t>При расчете общей суммы Гарантий, выдаваемых в рамках Соглашения, Гарантия, которая выдается взамен истекающей в обеспечение исполнения того же обязательства и вступает в силу с даты, следующей за датой истечения предыдущей Гарантии (при этом, она содержит в качестве условия для вступления в силу прекращение предыдущей Гарантии и отсутствие предъявленных требований по ней), учитывается с даты вступления такой Гарантии в силу</w:t>
      </w:r>
      <w:r w:rsidRPr="003715A4">
        <w:rPr>
          <w:rFonts w:ascii="Verdana" w:hAnsi="Verdana"/>
          <w:b/>
          <w:sz w:val="17"/>
          <w:szCs w:val="17"/>
        </w:rPr>
        <w:t>.</w:t>
      </w:r>
    </w:p>
    <w:p w:rsidR="00732D09" w:rsidRPr="003715A4" w:rsidRDefault="00732D09" w:rsidP="00613A9B">
      <w:pPr>
        <w:pStyle w:val="Default"/>
        <w:ind w:left="142" w:firstLine="426"/>
        <w:jc w:val="both"/>
        <w:rPr>
          <w:rFonts w:ascii="Verdana" w:hAnsi="Verdana"/>
          <w:b/>
          <w:sz w:val="17"/>
          <w:szCs w:val="17"/>
        </w:rPr>
      </w:pPr>
      <w:r w:rsidRPr="003715A4">
        <w:rPr>
          <w:rFonts w:ascii="Verdana" w:hAnsi="Verdana"/>
          <w:b/>
          <w:sz w:val="17"/>
          <w:szCs w:val="17"/>
        </w:rPr>
        <w:t xml:space="preserve">Гарантии могут быть выпущены Банком в течение периода с даты заключения Соглашения до «30» июня 2022 г. включительно («Период выпуска Гарантий»). По истечении Периода выпуска Гарантий, Банк не выдает Гарантии по просьбе Принципала. </w:t>
      </w:r>
    </w:p>
    <w:p w:rsidR="00613A9B" w:rsidRPr="003715A4" w:rsidRDefault="00613A9B" w:rsidP="00613A9B">
      <w:pPr>
        <w:pStyle w:val="Default"/>
        <w:ind w:left="142" w:firstLine="426"/>
        <w:jc w:val="both"/>
        <w:rPr>
          <w:rFonts w:ascii="Verdana" w:hAnsi="Verdana"/>
          <w:b/>
          <w:sz w:val="17"/>
          <w:szCs w:val="17"/>
        </w:rPr>
      </w:pPr>
      <w:r w:rsidRPr="003715A4">
        <w:rPr>
          <w:rFonts w:ascii="Verdana" w:hAnsi="Verdana"/>
          <w:b/>
          <w:sz w:val="17"/>
          <w:szCs w:val="17"/>
        </w:rPr>
        <w:t xml:space="preserve">Гарантия выдается на основании представляемого Принципалом Гаранту заявления на выдачу Гарантии. Заявление должно содержать дату прекращения срока действия Гарантии, которая не может быть позднее, чем дата, в которую истекают </w:t>
      </w:r>
      <w:r w:rsidRPr="003715A4">
        <w:rPr>
          <w:rFonts w:ascii="Verdana" w:hAnsi="Verdana"/>
          <w:b/>
          <w:bCs/>
          <w:sz w:val="17"/>
          <w:szCs w:val="17"/>
        </w:rPr>
        <w:t>36 (Тридцать шесть) м</w:t>
      </w:r>
      <w:r w:rsidRPr="003715A4">
        <w:rPr>
          <w:rFonts w:ascii="Verdana" w:hAnsi="Verdana"/>
          <w:b/>
          <w:sz w:val="17"/>
          <w:szCs w:val="17"/>
        </w:rPr>
        <w:t>есяцев с даты выдачи Гарантии («</w:t>
      </w:r>
      <w:r w:rsidRPr="003715A4">
        <w:rPr>
          <w:rFonts w:ascii="Verdana" w:hAnsi="Verdana"/>
          <w:b/>
          <w:bCs/>
          <w:sz w:val="17"/>
          <w:szCs w:val="17"/>
        </w:rPr>
        <w:t>Срок истечения Гарантии»)</w:t>
      </w:r>
      <w:r w:rsidRPr="003715A4">
        <w:rPr>
          <w:rFonts w:ascii="Verdana" w:hAnsi="Verdana"/>
          <w:b/>
          <w:sz w:val="17"/>
          <w:szCs w:val="17"/>
        </w:rPr>
        <w:t xml:space="preserve">, но которая в любом случае не может быть позднее </w:t>
      </w:r>
      <w:r w:rsidRPr="003715A4">
        <w:rPr>
          <w:rFonts w:ascii="Verdana" w:hAnsi="Verdana"/>
          <w:b/>
          <w:bCs/>
          <w:sz w:val="17"/>
          <w:szCs w:val="17"/>
        </w:rPr>
        <w:t>«17» августа 2022 года</w:t>
      </w:r>
      <w:r w:rsidRPr="003715A4">
        <w:rPr>
          <w:rFonts w:ascii="Verdana" w:hAnsi="Verdana"/>
          <w:b/>
          <w:sz w:val="17"/>
          <w:szCs w:val="17"/>
        </w:rPr>
        <w:t xml:space="preserve">. </w:t>
      </w:r>
    </w:p>
    <w:p w:rsidR="00613A9B" w:rsidRPr="003715A4" w:rsidRDefault="00613A9B" w:rsidP="00613A9B">
      <w:pPr>
        <w:pStyle w:val="Default"/>
        <w:ind w:left="142" w:firstLine="426"/>
        <w:jc w:val="both"/>
        <w:rPr>
          <w:rFonts w:ascii="Verdana" w:hAnsi="Verdana"/>
          <w:b/>
          <w:sz w:val="17"/>
          <w:szCs w:val="17"/>
        </w:rPr>
      </w:pPr>
      <w:r w:rsidRPr="003715A4">
        <w:rPr>
          <w:rFonts w:ascii="Verdana" w:hAnsi="Verdana"/>
          <w:b/>
          <w:sz w:val="17"/>
          <w:szCs w:val="17"/>
        </w:rPr>
        <w:t>Банк вправе отказать Принципалу в выдаче/изменении Гарантии.</w:t>
      </w:r>
    </w:p>
    <w:p w:rsidR="00613A9B" w:rsidRPr="003715A4" w:rsidRDefault="00613A9B" w:rsidP="00613A9B">
      <w:pPr>
        <w:pStyle w:val="Default"/>
        <w:ind w:left="142" w:firstLine="426"/>
        <w:jc w:val="both"/>
        <w:rPr>
          <w:rFonts w:ascii="Verdana" w:hAnsi="Verdana"/>
          <w:b/>
          <w:sz w:val="17"/>
          <w:szCs w:val="17"/>
        </w:rPr>
      </w:pPr>
      <w:r w:rsidRPr="003715A4">
        <w:rPr>
          <w:rFonts w:ascii="Verdana" w:hAnsi="Verdana"/>
          <w:b/>
          <w:sz w:val="17"/>
          <w:szCs w:val="17"/>
        </w:rPr>
        <w:t>Гарантия вступает в силу с даты, указанной в Гарантии, определяемой в соответствии с заявлением. В случае, если дата вступления Гарантии в силу заявлением не определена, то Гарантия вступает в силу с даты подписания Гарантии со стороны Банка («</w:t>
      </w:r>
      <w:r w:rsidRPr="003715A4">
        <w:rPr>
          <w:rFonts w:ascii="Verdana" w:hAnsi="Verdana"/>
          <w:b/>
          <w:bCs/>
          <w:sz w:val="17"/>
          <w:szCs w:val="17"/>
        </w:rPr>
        <w:t>Дата выдачи»</w:t>
      </w:r>
      <w:r w:rsidRPr="003715A4">
        <w:rPr>
          <w:rFonts w:ascii="Verdana" w:hAnsi="Verdana"/>
          <w:b/>
          <w:sz w:val="17"/>
          <w:szCs w:val="17"/>
        </w:rPr>
        <w:t xml:space="preserve">). Гарантия не может быть отозвана/изменена Гарантом, если в ней не предусмотрено иное. </w:t>
      </w:r>
    </w:p>
    <w:p w:rsidR="00613A9B" w:rsidRPr="003715A4" w:rsidRDefault="00613A9B" w:rsidP="00613A9B">
      <w:pPr>
        <w:autoSpaceDE w:val="0"/>
        <w:autoSpaceDN w:val="0"/>
        <w:adjustRightInd w:val="0"/>
        <w:ind w:left="142" w:firstLine="426"/>
        <w:jc w:val="both"/>
        <w:rPr>
          <w:rFonts w:ascii="Verdana" w:hAnsi="Verdana"/>
          <w:b/>
          <w:color w:val="000000"/>
          <w:sz w:val="17"/>
          <w:szCs w:val="17"/>
        </w:rPr>
      </w:pPr>
      <w:r w:rsidRPr="003715A4">
        <w:rPr>
          <w:rFonts w:ascii="Verdana" w:hAnsi="Verdana"/>
          <w:b/>
          <w:color w:val="000000"/>
          <w:sz w:val="17"/>
          <w:szCs w:val="17"/>
        </w:rPr>
        <w:t xml:space="preserve">В случае уплаты Гарантом Бенефициару сумм по Гарантии, Принципал обязуется возместить Гаранту все уплаченные Гарантом Бенефициару суммы по Гарантии в дату платежа Гарантом Бенефициару сумм по Гарантии. Возмещение Принципалом сумм по Гарантии осуществляется путем списания Гарантом денежных средств со счета Принципала в соответствии с Соглашением. </w:t>
      </w:r>
    </w:p>
    <w:p w:rsidR="00613A9B" w:rsidRPr="003715A4" w:rsidRDefault="00613A9B" w:rsidP="00613A9B">
      <w:pPr>
        <w:pStyle w:val="a6"/>
        <w:tabs>
          <w:tab w:val="left" w:pos="34"/>
        </w:tabs>
        <w:spacing w:after="0" w:line="276" w:lineRule="auto"/>
        <w:ind w:left="142" w:firstLine="426"/>
        <w:jc w:val="both"/>
        <w:rPr>
          <w:rFonts w:ascii="Verdana" w:hAnsi="Verdana"/>
          <w:b/>
          <w:color w:val="000000"/>
          <w:sz w:val="17"/>
          <w:szCs w:val="17"/>
        </w:rPr>
      </w:pPr>
      <w:r w:rsidRPr="003715A4">
        <w:rPr>
          <w:rFonts w:ascii="Verdana" w:hAnsi="Verdana"/>
          <w:b/>
          <w:color w:val="000000"/>
          <w:sz w:val="17"/>
          <w:szCs w:val="17"/>
        </w:rPr>
        <w:t>Реквизиты в долларах США, а также в иных валютах предоставляются Банком по запросу Принципала.</w:t>
      </w:r>
    </w:p>
    <w:p w:rsidR="003B1ADE" w:rsidRPr="003715A4" w:rsidRDefault="00613A9B" w:rsidP="00613A9B">
      <w:pPr>
        <w:ind w:firstLine="567"/>
        <w:jc w:val="both"/>
        <w:rPr>
          <w:rFonts w:ascii="Verdana" w:hAnsi="Verdana"/>
          <w:b/>
          <w:sz w:val="17"/>
          <w:szCs w:val="17"/>
        </w:rPr>
      </w:pPr>
      <w:r w:rsidRPr="003715A4">
        <w:rPr>
          <w:rFonts w:ascii="Verdana" w:hAnsi="Verdana"/>
          <w:b/>
          <w:color w:val="000000"/>
          <w:sz w:val="17"/>
          <w:szCs w:val="17"/>
        </w:rPr>
        <w:t>В случае, если Принципал своевременно не выплачивает Гаранту какие-либо суммы, причитающиеся Гаранту по Соглашению, в том числе, но не ограничиваясь: суммы комиссии за выпуск Гарантии, а также суммы, причитающиеся Гаранту по Соглашению в соответствии с условиями Соглашения, Принципал обязан выплатить Гаранту пеню в размере 0,1 % (Ноль целых и одна десятая процента) от просроченной суммы за каждый календарный день просрочки</w:t>
      </w:r>
      <w:r w:rsidR="003B1ADE" w:rsidRPr="003715A4">
        <w:rPr>
          <w:rFonts w:ascii="Verdana" w:hAnsi="Verdana"/>
          <w:b/>
          <w:sz w:val="17"/>
          <w:szCs w:val="17"/>
        </w:rPr>
        <w:t>».</w:t>
      </w:r>
    </w:p>
    <w:p w:rsidR="003B1ADE" w:rsidRPr="003715A4" w:rsidRDefault="003B1ADE" w:rsidP="003B1ADE">
      <w:pPr>
        <w:ind w:left="567"/>
        <w:jc w:val="both"/>
        <w:rPr>
          <w:rFonts w:ascii="Verdana" w:hAnsi="Verdana"/>
          <w:b/>
          <w:sz w:val="17"/>
          <w:szCs w:val="17"/>
        </w:rPr>
      </w:pPr>
      <w:r w:rsidRPr="003715A4">
        <w:rPr>
          <w:rFonts w:ascii="Verdana" w:hAnsi="Verdana"/>
          <w:b/>
          <w:sz w:val="17"/>
          <w:szCs w:val="17"/>
        </w:rPr>
        <w:t xml:space="preserve"> </w:t>
      </w:r>
    </w:p>
    <w:p w:rsidR="00D15591" w:rsidRPr="003715A4" w:rsidRDefault="00D15591" w:rsidP="00D15591">
      <w:pPr>
        <w:pStyle w:val="a6"/>
        <w:ind w:left="0"/>
        <w:jc w:val="both"/>
        <w:rPr>
          <w:rFonts w:ascii="Verdana" w:hAnsi="Verdana"/>
          <w:vanish/>
          <w:color w:val="000000"/>
          <w:sz w:val="17"/>
          <w:szCs w:val="17"/>
        </w:rPr>
      </w:pPr>
      <w:r w:rsidRPr="003715A4">
        <w:rPr>
          <w:rFonts w:ascii="Verdana" w:hAnsi="Verdana"/>
          <w:color w:val="000000"/>
          <w:sz w:val="17"/>
          <w:szCs w:val="17"/>
        </w:rPr>
        <w:t>2.3. Д</w:t>
      </w:r>
      <w:r w:rsidRPr="003715A4">
        <w:rPr>
          <w:rFonts w:ascii="Verdana" w:hAnsi="Verdana"/>
          <w:vanish/>
          <w:color w:val="000000"/>
          <w:sz w:val="17"/>
          <w:szCs w:val="17"/>
        </w:rPr>
        <w:t> </w:t>
      </w:r>
    </w:p>
    <w:p w:rsidR="00D15591" w:rsidRPr="003715A4" w:rsidRDefault="00D15591" w:rsidP="00D15591">
      <w:pPr>
        <w:spacing w:after="312"/>
        <w:jc w:val="both"/>
        <w:rPr>
          <w:rFonts w:ascii="Verdana" w:hAnsi="Verdana"/>
          <w:vanish/>
          <w:color w:val="000000"/>
          <w:sz w:val="17"/>
          <w:szCs w:val="17"/>
        </w:rPr>
      </w:pPr>
      <w:r w:rsidRPr="003715A4">
        <w:rPr>
          <w:rFonts w:ascii="Verdana" w:hAnsi="Verdana"/>
          <w:vanish/>
          <w:color w:val="000000"/>
          <w:sz w:val="17"/>
          <w:szCs w:val="17"/>
        </w:rPr>
        <w:t> </w:t>
      </w:r>
    </w:p>
    <w:p w:rsidR="00D15591" w:rsidRPr="003715A4" w:rsidRDefault="00D15591" w:rsidP="00D15591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7"/>
          <w:szCs w:val="17"/>
          <w:lang w:eastAsia="en-US"/>
        </w:rPr>
      </w:pPr>
      <w:r w:rsidRPr="003715A4">
        <w:rPr>
          <w:rFonts w:ascii="Verdana" w:hAnsi="Verdana"/>
          <w:color w:val="000000"/>
          <w:sz w:val="17"/>
          <w:szCs w:val="17"/>
        </w:rPr>
        <w:t>ата проведения заседания Совета директоров Общества</w:t>
      </w:r>
      <w:r w:rsidRPr="003715A4">
        <w:rPr>
          <w:rFonts w:ascii="Verdana" w:eastAsia="Calibri" w:hAnsi="Verdana"/>
          <w:sz w:val="17"/>
          <w:szCs w:val="17"/>
          <w:lang w:eastAsia="en-US"/>
        </w:rPr>
        <w:t>:</w:t>
      </w:r>
      <w:r w:rsidRPr="003715A4">
        <w:rPr>
          <w:rFonts w:ascii="Verdana" w:hAnsi="Verdana"/>
          <w:color w:val="000000"/>
          <w:sz w:val="17"/>
          <w:szCs w:val="17"/>
        </w:rPr>
        <w:t xml:space="preserve"> </w:t>
      </w:r>
      <w:r w:rsidR="00613A9B" w:rsidRPr="003715A4">
        <w:rPr>
          <w:rFonts w:ascii="Verdana" w:hAnsi="Verdana"/>
          <w:b/>
          <w:color w:val="000000"/>
          <w:sz w:val="17"/>
          <w:szCs w:val="17"/>
        </w:rPr>
        <w:t>20</w:t>
      </w:r>
      <w:r w:rsidRPr="003715A4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613A9B" w:rsidRPr="003715A4">
        <w:rPr>
          <w:rFonts w:ascii="Verdana" w:eastAsia="Calibri" w:hAnsi="Verdana"/>
          <w:b/>
          <w:sz w:val="17"/>
          <w:szCs w:val="17"/>
          <w:lang w:eastAsia="en-US"/>
        </w:rPr>
        <w:t>сентября</w:t>
      </w:r>
      <w:r w:rsidRPr="003715A4">
        <w:rPr>
          <w:rFonts w:ascii="Verdana" w:eastAsia="Calibri" w:hAnsi="Verdana"/>
          <w:b/>
          <w:sz w:val="17"/>
          <w:szCs w:val="17"/>
          <w:lang w:eastAsia="en-US"/>
        </w:rPr>
        <w:t xml:space="preserve"> 201</w:t>
      </w:r>
      <w:r w:rsidR="006F3148" w:rsidRPr="003715A4">
        <w:rPr>
          <w:rFonts w:ascii="Verdana" w:eastAsia="Calibri" w:hAnsi="Verdana"/>
          <w:b/>
          <w:sz w:val="17"/>
          <w:szCs w:val="17"/>
          <w:lang w:eastAsia="en-US"/>
        </w:rPr>
        <w:t>9</w:t>
      </w:r>
      <w:r w:rsidRPr="003715A4">
        <w:rPr>
          <w:rFonts w:ascii="Verdana" w:eastAsia="Calibri" w:hAnsi="Verdana"/>
          <w:b/>
          <w:sz w:val="17"/>
          <w:szCs w:val="17"/>
          <w:lang w:eastAsia="en-US"/>
        </w:rPr>
        <w:t xml:space="preserve"> года.</w:t>
      </w:r>
    </w:p>
    <w:p w:rsidR="00D15591" w:rsidRPr="003715A4" w:rsidRDefault="00D15591" w:rsidP="00D15591">
      <w:pPr>
        <w:autoSpaceDE w:val="0"/>
        <w:autoSpaceDN w:val="0"/>
        <w:adjustRightInd w:val="0"/>
        <w:jc w:val="both"/>
        <w:outlineLvl w:val="2"/>
        <w:rPr>
          <w:rFonts w:ascii="Verdana" w:hAnsi="Verdana"/>
          <w:color w:val="000000"/>
          <w:sz w:val="17"/>
          <w:szCs w:val="17"/>
        </w:rPr>
      </w:pPr>
    </w:p>
    <w:p w:rsidR="00D15591" w:rsidRPr="003715A4" w:rsidRDefault="00D15591" w:rsidP="00D15591">
      <w:pPr>
        <w:spacing w:after="312"/>
        <w:jc w:val="both"/>
        <w:rPr>
          <w:rFonts w:ascii="Verdana" w:hAnsi="Verdana"/>
          <w:vanish/>
          <w:color w:val="000000"/>
          <w:sz w:val="17"/>
          <w:szCs w:val="17"/>
        </w:rPr>
      </w:pPr>
      <w:r w:rsidRPr="003715A4">
        <w:rPr>
          <w:rFonts w:ascii="Verdana" w:hAnsi="Verdana"/>
          <w:color w:val="000000"/>
          <w:sz w:val="17"/>
          <w:szCs w:val="17"/>
          <w:lang w:val="en-US"/>
        </w:rPr>
        <w:t>2</w:t>
      </w:r>
      <w:r w:rsidRPr="003715A4">
        <w:rPr>
          <w:rFonts w:ascii="Verdana" w:hAnsi="Verdana"/>
          <w:color w:val="000000"/>
          <w:sz w:val="17"/>
          <w:szCs w:val="17"/>
        </w:rPr>
        <w:t>.</w:t>
      </w:r>
      <w:r w:rsidRPr="003715A4">
        <w:rPr>
          <w:rFonts w:ascii="Verdana" w:hAnsi="Verdana"/>
          <w:color w:val="000000"/>
          <w:sz w:val="17"/>
          <w:szCs w:val="17"/>
          <w:lang w:val="en-US"/>
        </w:rPr>
        <w:t>4</w:t>
      </w:r>
      <w:r w:rsidRPr="003715A4">
        <w:rPr>
          <w:rFonts w:ascii="Verdana" w:hAnsi="Verdana"/>
          <w:color w:val="000000"/>
          <w:sz w:val="17"/>
          <w:szCs w:val="17"/>
        </w:rPr>
        <w:t>. Д</w:t>
      </w:r>
      <w:r w:rsidRPr="003715A4">
        <w:rPr>
          <w:rFonts w:ascii="Verdana" w:hAnsi="Verdana"/>
          <w:vanish/>
          <w:color w:val="000000"/>
          <w:sz w:val="17"/>
          <w:szCs w:val="17"/>
        </w:rPr>
        <w:t> </w:t>
      </w:r>
    </w:p>
    <w:p w:rsidR="00D15591" w:rsidRPr="003715A4" w:rsidRDefault="00D15591" w:rsidP="00D15591">
      <w:pPr>
        <w:spacing w:after="312"/>
        <w:jc w:val="both"/>
        <w:rPr>
          <w:rFonts w:ascii="Verdana" w:hAnsi="Verdana"/>
          <w:vanish/>
          <w:color w:val="000000"/>
          <w:sz w:val="17"/>
          <w:szCs w:val="17"/>
        </w:rPr>
      </w:pPr>
      <w:r w:rsidRPr="003715A4">
        <w:rPr>
          <w:rFonts w:ascii="Verdana" w:hAnsi="Verdana"/>
          <w:vanish/>
          <w:color w:val="000000"/>
          <w:sz w:val="17"/>
          <w:szCs w:val="17"/>
        </w:rPr>
        <w:t> </w:t>
      </w:r>
    </w:p>
    <w:p w:rsidR="00D15591" w:rsidRPr="003715A4" w:rsidRDefault="00D15591" w:rsidP="00D15591">
      <w:pPr>
        <w:pStyle w:val="a3"/>
        <w:spacing w:after="120"/>
        <w:jc w:val="both"/>
        <w:rPr>
          <w:rFonts w:ascii="Verdana" w:hAnsi="Verdana" w:cs="Verdana"/>
          <w:sz w:val="17"/>
          <w:szCs w:val="17"/>
        </w:rPr>
      </w:pPr>
      <w:r w:rsidRPr="003715A4">
        <w:rPr>
          <w:rFonts w:ascii="Verdana" w:hAnsi="Verdana"/>
          <w:color w:val="000000"/>
          <w:sz w:val="17"/>
          <w:szCs w:val="17"/>
        </w:rPr>
        <w:t>ата составления и номер протокола заседания Совета директоров Общества</w:t>
      </w:r>
      <w:r w:rsidRPr="003715A4">
        <w:rPr>
          <w:rFonts w:ascii="Verdana" w:eastAsia="Calibri" w:hAnsi="Verdana"/>
          <w:sz w:val="17"/>
          <w:szCs w:val="17"/>
          <w:lang w:eastAsia="en-US"/>
        </w:rPr>
        <w:t xml:space="preserve">: </w:t>
      </w:r>
      <w:r w:rsidRPr="003715A4">
        <w:rPr>
          <w:rFonts w:ascii="Verdana" w:hAnsi="Verdana" w:cs="Verdana"/>
          <w:b/>
          <w:bCs/>
          <w:sz w:val="17"/>
          <w:szCs w:val="17"/>
        </w:rPr>
        <w:t xml:space="preserve">Протокол № </w:t>
      </w:r>
      <w:r w:rsidR="00D26C8D" w:rsidRPr="003715A4">
        <w:rPr>
          <w:rFonts w:ascii="Verdana" w:hAnsi="Verdana" w:cs="Verdana"/>
          <w:b/>
          <w:bCs/>
          <w:sz w:val="17"/>
          <w:szCs w:val="17"/>
        </w:rPr>
        <w:t>3</w:t>
      </w:r>
      <w:r w:rsidR="00613A9B" w:rsidRPr="003715A4">
        <w:rPr>
          <w:rFonts w:ascii="Verdana" w:hAnsi="Verdana" w:cs="Verdana"/>
          <w:b/>
          <w:bCs/>
          <w:sz w:val="17"/>
          <w:szCs w:val="17"/>
        </w:rPr>
        <w:t>21</w:t>
      </w:r>
      <w:r w:rsidRPr="003715A4">
        <w:rPr>
          <w:rFonts w:ascii="Verdana" w:hAnsi="Verdana" w:cs="Verdana"/>
          <w:b/>
          <w:bCs/>
          <w:sz w:val="17"/>
          <w:szCs w:val="17"/>
        </w:rPr>
        <w:t xml:space="preserve"> составлен </w:t>
      </w:r>
      <w:r w:rsidR="00613A9B" w:rsidRPr="003715A4">
        <w:rPr>
          <w:rFonts w:ascii="Verdana" w:hAnsi="Verdana" w:cs="Verdana"/>
          <w:b/>
          <w:bCs/>
          <w:sz w:val="17"/>
          <w:szCs w:val="17"/>
        </w:rPr>
        <w:t>20</w:t>
      </w:r>
      <w:r w:rsidRPr="003715A4">
        <w:rPr>
          <w:rFonts w:ascii="Verdana" w:hAnsi="Verdana" w:cs="Verdana"/>
          <w:b/>
          <w:bCs/>
          <w:sz w:val="17"/>
          <w:szCs w:val="17"/>
        </w:rPr>
        <w:t xml:space="preserve"> </w:t>
      </w:r>
      <w:r w:rsidR="00613A9B" w:rsidRPr="003715A4">
        <w:rPr>
          <w:rFonts w:ascii="Verdana" w:hAnsi="Verdana" w:cs="Verdana"/>
          <w:b/>
          <w:bCs/>
          <w:sz w:val="17"/>
          <w:szCs w:val="17"/>
        </w:rPr>
        <w:t>сентября</w:t>
      </w:r>
      <w:r w:rsidRPr="003715A4">
        <w:rPr>
          <w:rFonts w:ascii="Verdana" w:hAnsi="Verdana" w:cs="Verdana"/>
          <w:b/>
          <w:bCs/>
          <w:sz w:val="17"/>
          <w:szCs w:val="17"/>
        </w:rPr>
        <w:t xml:space="preserve"> 201</w:t>
      </w:r>
      <w:r w:rsidR="00D26C8D" w:rsidRPr="003715A4">
        <w:rPr>
          <w:rFonts w:ascii="Verdana" w:hAnsi="Verdana" w:cs="Verdana"/>
          <w:b/>
          <w:bCs/>
          <w:sz w:val="17"/>
          <w:szCs w:val="17"/>
        </w:rPr>
        <w:t>9</w:t>
      </w:r>
      <w:r w:rsidRPr="003715A4">
        <w:rPr>
          <w:rFonts w:ascii="Verdana" w:hAnsi="Verdana" w:cs="Verdana"/>
          <w:b/>
          <w:bCs/>
          <w:sz w:val="17"/>
          <w:szCs w:val="17"/>
        </w:rPr>
        <w:t xml:space="preserve"> года</w:t>
      </w:r>
      <w:r w:rsidRPr="003715A4">
        <w:rPr>
          <w:rFonts w:ascii="Verdana" w:hAnsi="Verdana" w:cs="Verdana"/>
          <w:sz w:val="17"/>
          <w:szCs w:val="17"/>
        </w:rPr>
        <w:t>.</w:t>
      </w:r>
    </w:p>
    <w:p w:rsidR="004B7C95" w:rsidRPr="003715A4" w:rsidRDefault="004B7C95" w:rsidP="00D15591">
      <w:pPr>
        <w:pStyle w:val="a3"/>
        <w:spacing w:after="120"/>
        <w:jc w:val="center"/>
        <w:rPr>
          <w:rFonts w:ascii="Verdana" w:hAnsi="Verdana" w:cs="Verdana"/>
          <w:smallCaps/>
          <w:sz w:val="17"/>
          <w:szCs w:val="17"/>
        </w:rPr>
      </w:pPr>
    </w:p>
    <w:p w:rsidR="00D15591" w:rsidRPr="003715A4" w:rsidRDefault="00D15591" w:rsidP="00D15591">
      <w:pPr>
        <w:pStyle w:val="a3"/>
        <w:spacing w:after="120"/>
        <w:jc w:val="center"/>
        <w:rPr>
          <w:rFonts w:ascii="Verdana" w:hAnsi="Verdana" w:cs="Verdana"/>
          <w:sz w:val="17"/>
          <w:szCs w:val="17"/>
        </w:rPr>
      </w:pPr>
      <w:r w:rsidRPr="003715A4">
        <w:rPr>
          <w:rFonts w:ascii="Verdana" w:hAnsi="Verdana" w:cs="Verdana"/>
          <w:smallCaps/>
          <w:sz w:val="17"/>
          <w:szCs w:val="17"/>
        </w:rPr>
        <w:t>3. Подпись</w:t>
      </w:r>
      <w:r w:rsidRPr="003715A4">
        <w:rPr>
          <w:rFonts w:ascii="Verdana" w:hAnsi="Verdana" w:cs="Verdana"/>
          <w:sz w:val="17"/>
          <w:szCs w:val="17"/>
        </w:rPr>
        <w:t xml:space="preserve"> </w:t>
      </w:r>
    </w:p>
    <w:p w:rsidR="00D15591" w:rsidRPr="003715A4" w:rsidRDefault="00D15591" w:rsidP="00D15591">
      <w:pPr>
        <w:pStyle w:val="a3"/>
        <w:spacing w:after="120"/>
        <w:rPr>
          <w:rFonts w:ascii="Verdana" w:hAnsi="Verdana" w:cs="Verdana"/>
          <w:b/>
          <w:sz w:val="17"/>
          <w:szCs w:val="17"/>
        </w:rPr>
      </w:pPr>
      <w:r w:rsidRPr="003715A4">
        <w:rPr>
          <w:rFonts w:ascii="Verdana" w:hAnsi="Verdana" w:cs="Verdana"/>
          <w:sz w:val="17"/>
          <w:szCs w:val="17"/>
        </w:rPr>
        <w:t xml:space="preserve">3.1. </w:t>
      </w:r>
      <w:r w:rsidRPr="003715A4">
        <w:rPr>
          <w:rFonts w:ascii="Verdana" w:hAnsi="Verdana" w:cs="Verdana"/>
          <w:b/>
          <w:sz w:val="17"/>
          <w:szCs w:val="17"/>
        </w:rPr>
        <w:t xml:space="preserve">Управляющий директор АО «Волга-флот» </w:t>
      </w:r>
      <w:r w:rsidRPr="003715A4">
        <w:rPr>
          <w:rFonts w:ascii="Verdana" w:hAnsi="Verdana" w:cs="Verdana"/>
          <w:b/>
          <w:sz w:val="17"/>
          <w:szCs w:val="17"/>
        </w:rPr>
        <w:tab/>
      </w:r>
      <w:r w:rsidRPr="003715A4">
        <w:rPr>
          <w:rFonts w:ascii="Verdana" w:hAnsi="Verdana" w:cs="Verdana"/>
          <w:b/>
          <w:sz w:val="17"/>
          <w:szCs w:val="17"/>
        </w:rPr>
        <w:tab/>
        <w:t xml:space="preserve">                      </w:t>
      </w:r>
      <w:r w:rsidRPr="003715A4">
        <w:rPr>
          <w:rFonts w:ascii="Verdana" w:hAnsi="Verdana" w:cs="Verdana"/>
          <w:b/>
          <w:sz w:val="17"/>
          <w:szCs w:val="17"/>
        </w:rPr>
        <w:tab/>
        <w:t xml:space="preserve">               </w:t>
      </w:r>
      <w:r w:rsidRPr="003715A4">
        <w:rPr>
          <w:rFonts w:ascii="Verdana" w:hAnsi="Verdana" w:cs="Verdana"/>
          <w:b/>
          <w:sz w:val="17"/>
          <w:szCs w:val="17"/>
        </w:rPr>
        <w:tab/>
        <w:t xml:space="preserve">            </w:t>
      </w:r>
      <w:r w:rsidR="00DD1214" w:rsidRPr="003715A4">
        <w:rPr>
          <w:rFonts w:ascii="Verdana" w:hAnsi="Verdana" w:cs="Verdana"/>
          <w:b/>
          <w:sz w:val="17"/>
          <w:szCs w:val="17"/>
        </w:rPr>
        <w:t>Ю</w:t>
      </w:r>
      <w:r w:rsidRPr="003715A4">
        <w:rPr>
          <w:rFonts w:ascii="Verdana" w:hAnsi="Verdana" w:cs="Verdana"/>
          <w:b/>
          <w:sz w:val="17"/>
          <w:szCs w:val="17"/>
        </w:rPr>
        <w:t>.</w:t>
      </w:r>
      <w:r w:rsidR="00DD1214" w:rsidRPr="003715A4">
        <w:rPr>
          <w:rFonts w:ascii="Verdana" w:hAnsi="Verdana" w:cs="Verdana"/>
          <w:b/>
          <w:sz w:val="17"/>
          <w:szCs w:val="17"/>
        </w:rPr>
        <w:t>Б</w:t>
      </w:r>
      <w:r w:rsidRPr="003715A4">
        <w:rPr>
          <w:rFonts w:ascii="Verdana" w:hAnsi="Verdana" w:cs="Verdana"/>
          <w:b/>
          <w:sz w:val="17"/>
          <w:szCs w:val="17"/>
        </w:rPr>
        <w:t xml:space="preserve">. </w:t>
      </w:r>
      <w:r w:rsidR="00DD1214" w:rsidRPr="003715A4">
        <w:rPr>
          <w:rFonts w:ascii="Verdana" w:hAnsi="Verdana" w:cs="Verdana"/>
          <w:b/>
          <w:sz w:val="17"/>
          <w:szCs w:val="17"/>
        </w:rPr>
        <w:t>Гильц</w:t>
      </w:r>
    </w:p>
    <w:p w:rsidR="00D15591" w:rsidRPr="003715A4" w:rsidRDefault="00D15591" w:rsidP="00D15591">
      <w:pPr>
        <w:pStyle w:val="a3"/>
        <w:spacing w:after="120"/>
        <w:rPr>
          <w:rFonts w:ascii="Verdana" w:hAnsi="Verdana"/>
          <w:sz w:val="17"/>
          <w:szCs w:val="17"/>
        </w:rPr>
      </w:pPr>
      <w:r w:rsidRPr="003715A4">
        <w:rPr>
          <w:rFonts w:ascii="Verdana" w:hAnsi="Verdana" w:cs="Verdana"/>
          <w:sz w:val="17"/>
          <w:szCs w:val="17"/>
        </w:rPr>
        <w:t xml:space="preserve">3.2. Дата: </w:t>
      </w:r>
      <w:r w:rsidR="00613A9B" w:rsidRPr="003715A4">
        <w:rPr>
          <w:rFonts w:ascii="Verdana" w:hAnsi="Verdana" w:cs="Verdana"/>
          <w:b/>
          <w:bCs/>
          <w:sz w:val="17"/>
          <w:szCs w:val="17"/>
        </w:rPr>
        <w:t xml:space="preserve">20 сентября </w:t>
      </w:r>
      <w:r w:rsidR="003B1ADE" w:rsidRPr="003715A4">
        <w:rPr>
          <w:rFonts w:ascii="Verdana" w:hAnsi="Verdana" w:cs="Verdana"/>
          <w:b/>
          <w:bCs/>
          <w:sz w:val="17"/>
          <w:szCs w:val="17"/>
        </w:rPr>
        <w:t xml:space="preserve">2019 года </w:t>
      </w:r>
      <w:r w:rsidRPr="003715A4">
        <w:rPr>
          <w:rFonts w:ascii="Verdana" w:eastAsia="Calibri" w:hAnsi="Verdana"/>
          <w:b/>
          <w:sz w:val="17"/>
          <w:szCs w:val="17"/>
          <w:lang w:eastAsia="en-US"/>
        </w:rPr>
        <w:t xml:space="preserve">                                         </w:t>
      </w:r>
      <w:proofErr w:type="spellStart"/>
      <w:r w:rsidRPr="003715A4">
        <w:rPr>
          <w:rFonts w:ascii="Verdana" w:hAnsi="Verdana" w:cs="Verdana"/>
          <w:sz w:val="17"/>
          <w:szCs w:val="17"/>
        </w:rPr>
        <w:t>м.п</w:t>
      </w:r>
      <w:proofErr w:type="spellEnd"/>
      <w:r w:rsidRPr="003715A4">
        <w:rPr>
          <w:rFonts w:ascii="Verdana" w:hAnsi="Verdana" w:cs="Verdana"/>
          <w:sz w:val="17"/>
          <w:szCs w:val="17"/>
        </w:rPr>
        <w:t>.</w:t>
      </w:r>
    </w:p>
    <w:p w:rsidR="00D15591" w:rsidRPr="003715A4" w:rsidRDefault="00D15591" w:rsidP="00D15591">
      <w:pPr>
        <w:rPr>
          <w:sz w:val="17"/>
          <w:szCs w:val="17"/>
        </w:rPr>
      </w:pPr>
    </w:p>
    <w:p w:rsidR="00D93EDB" w:rsidRPr="003715A4" w:rsidRDefault="00D93EDB" w:rsidP="00D15591">
      <w:pPr>
        <w:pStyle w:val="a3"/>
        <w:spacing w:after="120"/>
        <w:jc w:val="center"/>
        <w:rPr>
          <w:sz w:val="17"/>
          <w:szCs w:val="17"/>
        </w:rPr>
      </w:pPr>
      <w:bookmarkStart w:id="0" w:name="_GoBack"/>
      <w:bookmarkEnd w:id="0"/>
    </w:p>
    <w:sectPr w:rsidR="00D93EDB" w:rsidRPr="003715A4" w:rsidSect="008B14C0">
      <w:pgSz w:w="11906" w:h="16838"/>
      <w:pgMar w:top="426" w:right="282" w:bottom="709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0D28"/>
    <w:multiLevelType w:val="hybridMultilevel"/>
    <w:tmpl w:val="9126D432"/>
    <w:lvl w:ilvl="0" w:tplc="FC8E68C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04EC7"/>
    <w:multiLevelType w:val="hybridMultilevel"/>
    <w:tmpl w:val="39CA4246"/>
    <w:lvl w:ilvl="0" w:tplc="E26608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77CEF"/>
    <w:multiLevelType w:val="hybridMultilevel"/>
    <w:tmpl w:val="798EA40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CA32DA3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C3B8C"/>
    <w:multiLevelType w:val="hybridMultilevel"/>
    <w:tmpl w:val="C3DA217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37AD2AE1"/>
    <w:multiLevelType w:val="hybridMultilevel"/>
    <w:tmpl w:val="0E10E06C"/>
    <w:lvl w:ilvl="0" w:tplc="2C44B5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850"/>
    <w:multiLevelType w:val="hybridMultilevel"/>
    <w:tmpl w:val="843C7ADC"/>
    <w:lvl w:ilvl="0" w:tplc="0419000D">
      <w:start w:val="1"/>
      <w:numFmt w:val="bullet"/>
      <w:lvlText w:val="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4F564984"/>
    <w:multiLevelType w:val="hybridMultilevel"/>
    <w:tmpl w:val="39CA4246"/>
    <w:lvl w:ilvl="0" w:tplc="E26608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AF3387"/>
    <w:multiLevelType w:val="hybridMultilevel"/>
    <w:tmpl w:val="319EDB0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 w15:restartNumberingAfterBreak="0">
    <w:nsid w:val="6AD13251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317DE7"/>
    <w:multiLevelType w:val="hybridMultilevel"/>
    <w:tmpl w:val="7994B1C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FC3521E"/>
    <w:multiLevelType w:val="hybridMultilevel"/>
    <w:tmpl w:val="9348CD9E"/>
    <w:lvl w:ilvl="0" w:tplc="97286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F00065"/>
    <w:multiLevelType w:val="hybridMultilevel"/>
    <w:tmpl w:val="1FF43D8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78D5499D"/>
    <w:multiLevelType w:val="hybridMultilevel"/>
    <w:tmpl w:val="5A7CD7A4"/>
    <w:lvl w:ilvl="0" w:tplc="A0EA9D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DB"/>
    <w:rsid w:val="00016915"/>
    <w:rsid w:val="0009042F"/>
    <w:rsid w:val="000B2A24"/>
    <w:rsid w:val="001313C4"/>
    <w:rsid w:val="00153F89"/>
    <w:rsid w:val="00193AB6"/>
    <w:rsid w:val="001D55BF"/>
    <w:rsid w:val="002245F6"/>
    <w:rsid w:val="002C46E6"/>
    <w:rsid w:val="002F7BE3"/>
    <w:rsid w:val="003044AC"/>
    <w:rsid w:val="003463E1"/>
    <w:rsid w:val="003715A4"/>
    <w:rsid w:val="00373331"/>
    <w:rsid w:val="003B1ADE"/>
    <w:rsid w:val="004A1609"/>
    <w:rsid w:val="004A2A8D"/>
    <w:rsid w:val="004B7C95"/>
    <w:rsid w:val="004C5EE2"/>
    <w:rsid w:val="005103A1"/>
    <w:rsid w:val="00510D1D"/>
    <w:rsid w:val="005233FB"/>
    <w:rsid w:val="00606BE9"/>
    <w:rsid w:val="00613A9B"/>
    <w:rsid w:val="006F3148"/>
    <w:rsid w:val="00732D09"/>
    <w:rsid w:val="007D2F5D"/>
    <w:rsid w:val="007F1396"/>
    <w:rsid w:val="008245F2"/>
    <w:rsid w:val="008946C7"/>
    <w:rsid w:val="008C4ABF"/>
    <w:rsid w:val="008F5D90"/>
    <w:rsid w:val="0092568F"/>
    <w:rsid w:val="009B3440"/>
    <w:rsid w:val="00A5651C"/>
    <w:rsid w:val="00A80E9F"/>
    <w:rsid w:val="00A92CC7"/>
    <w:rsid w:val="00AB7EBC"/>
    <w:rsid w:val="00AE027D"/>
    <w:rsid w:val="00B83A44"/>
    <w:rsid w:val="00BE7138"/>
    <w:rsid w:val="00BF3CA1"/>
    <w:rsid w:val="00BF6135"/>
    <w:rsid w:val="00C03270"/>
    <w:rsid w:val="00C24853"/>
    <w:rsid w:val="00CC7C47"/>
    <w:rsid w:val="00CF21AD"/>
    <w:rsid w:val="00D00A70"/>
    <w:rsid w:val="00D15591"/>
    <w:rsid w:val="00D26C8D"/>
    <w:rsid w:val="00D5711B"/>
    <w:rsid w:val="00D92A0F"/>
    <w:rsid w:val="00D93EDB"/>
    <w:rsid w:val="00DD1214"/>
    <w:rsid w:val="00DF7F76"/>
    <w:rsid w:val="00E21F97"/>
    <w:rsid w:val="00E806E9"/>
    <w:rsid w:val="00F57923"/>
    <w:rsid w:val="00FB131A"/>
    <w:rsid w:val="00F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83DE"/>
  <w15:chartTrackingRefBased/>
  <w15:docId w15:val="{6935CB37-3046-4F22-96E3-91E167F9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3ED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93E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93EDB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D93E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3E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D93ED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93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3EDB"/>
    <w:pPr>
      <w:ind w:left="720"/>
      <w:contextualSpacing/>
    </w:pPr>
  </w:style>
  <w:style w:type="paragraph" w:styleId="a9">
    <w:name w:val="Body Text"/>
    <w:basedOn w:val="a"/>
    <w:link w:val="aa"/>
    <w:unhideWhenUsed/>
    <w:rsid w:val="00D93EDB"/>
    <w:pPr>
      <w:spacing w:after="120"/>
    </w:pPr>
  </w:style>
  <w:style w:type="character" w:customStyle="1" w:styleId="aa">
    <w:name w:val="Основной текст Знак"/>
    <w:basedOn w:val="a0"/>
    <w:link w:val="a9"/>
    <w:rsid w:val="00D9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93EDB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3E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Strong"/>
    <w:basedOn w:val="a0"/>
    <w:qFormat/>
    <w:rsid w:val="00D93EDB"/>
    <w:rPr>
      <w:b/>
      <w:bCs/>
    </w:rPr>
  </w:style>
  <w:style w:type="paragraph" w:customStyle="1" w:styleId="ConsPlusNormal">
    <w:name w:val="ConsPlusNormal"/>
    <w:rsid w:val="00D93E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customStyle="1" w:styleId="Text">
    <w:name w:val="Text"/>
    <w:basedOn w:val="a"/>
    <w:rsid w:val="00D93EDB"/>
    <w:pPr>
      <w:spacing w:after="240"/>
    </w:pPr>
    <w:rPr>
      <w:szCs w:val="20"/>
      <w:lang w:val="en-US" w:eastAsia="en-US"/>
    </w:rPr>
  </w:style>
  <w:style w:type="character" w:styleId="ac">
    <w:name w:val="page number"/>
    <w:basedOn w:val="a0"/>
    <w:semiHidden/>
    <w:rsid w:val="004A1609"/>
  </w:style>
  <w:style w:type="paragraph" w:styleId="ad">
    <w:name w:val="Balloon Text"/>
    <w:basedOn w:val="a"/>
    <w:link w:val="ae"/>
    <w:uiPriority w:val="99"/>
    <w:semiHidden/>
    <w:unhideWhenUsed/>
    <w:rsid w:val="00DF7F7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7F76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er"/>
    <w:basedOn w:val="a"/>
    <w:link w:val="af0"/>
    <w:semiHidden/>
    <w:rsid w:val="00D26C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D26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C24853"/>
    <w:rPr>
      <w:color w:val="954F72" w:themeColor="followedHyperlink"/>
      <w:u w:val="single"/>
    </w:rPr>
  </w:style>
  <w:style w:type="paragraph" w:customStyle="1" w:styleId="Default">
    <w:name w:val="Default"/>
    <w:rsid w:val="00613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6</cp:revision>
  <cp:lastPrinted>2019-04-26T11:27:00Z</cp:lastPrinted>
  <dcterms:created xsi:type="dcterms:W3CDTF">2019-09-18T08:20:00Z</dcterms:created>
  <dcterms:modified xsi:type="dcterms:W3CDTF">2019-09-18T08:30:00Z</dcterms:modified>
</cp:coreProperties>
</file>