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4"/>
        <w:ind w:firstLine="0"/>
        <w:jc w:val="center"/>
        <w:rPr>
          <w:rFonts w:ascii="Verdana" w:hAnsi="Verdana"/>
          <w:caps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  <w:r>
        <w:rPr>
          <w:rFonts w:ascii="Verdana" w:hAnsi="Verdana"/>
          <w:caps/>
        </w:rPr>
        <w:t xml:space="preserve">Сообщение</w:t>
      </w:r>
      <w:r/>
    </w:p>
    <w:p>
      <w:pPr>
        <w:pStyle w:val="664"/>
        <w:ind w:firstLine="0"/>
        <w:jc w:val="center"/>
        <w:rPr>
          <w:rFonts w:ascii="Verdana" w:hAnsi="Verdana"/>
          <w:bCs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  <w:r>
        <w:rPr>
          <w:rFonts w:ascii="Verdana" w:hAnsi="Verdana"/>
          <w:bCs/>
        </w:rPr>
        <w:t xml:space="preserve">о проведении годового Общего собрания акционеров</w:t>
      </w:r>
      <w:r>
        <w:rPr>
          <w:rFonts w:ascii="Verdana" w:hAnsi="Verdana"/>
          <w:bCs/>
        </w:rPr>
        <w:br/>
        <w:t xml:space="preserve">Акционерного общества «Судоходная компания «Волжское пароходство» (АО «</w:t>
      </w:r>
      <w:r>
        <w:rPr>
          <w:rFonts w:ascii="Verdana" w:hAnsi="Verdana"/>
          <w:bCs/>
        </w:rPr>
        <w:t xml:space="preserve">Волга - флот</w:t>
      </w:r>
      <w:r>
        <w:rPr>
          <w:rFonts w:ascii="Verdana" w:hAnsi="Verdana"/>
          <w:bCs/>
        </w:rPr>
        <w:t xml:space="preserve">)</w:t>
      </w:r>
      <w:r/>
    </w:p>
    <w:p>
      <w:pPr>
        <w:pStyle w:val="665"/>
        <w:ind w:firstLine="0"/>
        <w:jc w:val="center"/>
        <w:rPr>
          <w:rFonts w:ascii="Verdana" w:hAnsi="Verdana"/>
          <w:b w:val="0"/>
          <w:bCs/>
          <w:sz w:val="20"/>
        </w:r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  <w:r>
        <w:rPr>
          <w:rFonts w:ascii="Verdana" w:hAnsi="Verdana"/>
          <w:b w:val="0"/>
          <w:bCs/>
          <w:sz w:val="20"/>
        </w:rPr>
        <w:t xml:space="preserve">Место нахождения Общества: 603001, Российская Федерация, г. Нижний Новгород, пл. Маркина, д.15А</w:t>
      </w:r>
      <w:r/>
    </w:p>
    <w:p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</w:r>
      <w:r/>
    </w:p>
    <w:p>
      <w:pPr>
        <w:pStyle w:val="663"/>
        <w:spacing w:after="120"/>
        <w:rPr>
          <w:rFonts w:ascii="Verdana" w:hAnsi="Verdana"/>
          <w:caps/>
          <w:sz w:val="20"/>
        </w:rPr>
      </w:pPr>
      <w:r>
        <w:rPr>
          <w:rFonts w:ascii="Verdana" w:hAnsi="Verdana"/>
          <w:caps/>
          <w:sz w:val="20"/>
        </w:rPr>
        <w:t xml:space="preserve">Уважаемый акционер!</w:t>
      </w:r>
      <w:r/>
    </w:p>
    <w:p>
      <w:pPr>
        <w:pStyle w:val="672"/>
        <w:ind w:firstLine="0"/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Совет директоров АО «</w:t>
      </w:r>
      <w:r>
        <w:rPr>
          <w:rFonts w:ascii="Verdana" w:hAnsi="Verdana"/>
        </w:rPr>
        <w:t xml:space="preserve">Волга - флот</w:t>
      </w:r>
      <w:r>
        <w:rPr>
          <w:rFonts w:ascii="Verdana" w:hAnsi="Verdana"/>
        </w:rPr>
        <w:t xml:space="preserve">» уведомляет Вас о проведении годового Общего собрания акционеров, которое состоится </w:t>
      </w:r>
      <w:r>
        <w:rPr>
          <w:rFonts w:ascii="Verdana" w:hAnsi="Verdana"/>
          <w:b/>
        </w:rPr>
        <w:t xml:space="preserve">30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июн</w:t>
      </w:r>
      <w:r>
        <w:rPr>
          <w:rFonts w:ascii="Verdana" w:hAnsi="Verdana"/>
          <w:b/>
        </w:rPr>
        <w:t xml:space="preserve">я </w:t>
      </w:r>
      <w:r>
        <w:rPr>
          <w:rFonts w:ascii="Verdana" w:hAnsi="Verdana"/>
          <w:b/>
        </w:rPr>
        <w:t xml:space="preserve">2023</w:t>
      </w:r>
      <w:r>
        <w:rPr>
          <w:rFonts w:ascii="Verdana" w:hAnsi="Verdana"/>
          <w:b/>
        </w:rPr>
        <w:t xml:space="preserve"> года</w:t>
      </w:r>
      <w:r>
        <w:rPr>
          <w:rFonts w:ascii="Verdana" w:hAnsi="Verdana"/>
        </w:rPr>
        <w:t xml:space="preserve">.</w:t>
      </w:r>
      <w:bookmarkStart w:id="0" w:name="_GoBack"/>
      <w:r/>
      <w:bookmarkEnd w:id="0"/>
      <w:r/>
      <w:r/>
    </w:p>
    <w:p>
      <w:pPr>
        <w:pStyle w:val="672"/>
        <w:ind w:firstLine="0"/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Годовое Общее собрание акционеров проводится в форме </w:t>
      </w:r>
      <w:r>
        <w:rPr>
          <w:rFonts w:ascii="Verdana" w:hAnsi="Verdana"/>
          <w:b/>
        </w:rPr>
        <w:t xml:space="preserve">заочного голосования</w:t>
      </w:r>
      <w:r>
        <w:rPr>
          <w:rFonts w:ascii="Verdana" w:hAnsi="Verdana"/>
        </w:rPr>
        <w:t xml:space="preserve">.</w:t>
      </w:r>
      <w:r/>
    </w:p>
    <w:p>
      <w:pPr>
        <w:jc w:val="both"/>
        <w:spacing w:after="4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Дата окончания приема бюллетеней для голосования</w:t>
      </w:r>
      <w:r>
        <w:rPr>
          <w:rFonts w:ascii="Verdana" w:hAnsi="Verdana"/>
          <w:b/>
          <w:sz w:val="20"/>
        </w:rPr>
        <w:t xml:space="preserve">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30</w:t>
      </w:r>
      <w:r>
        <w:rPr>
          <w:rFonts w:ascii="Verdana" w:hAnsi="Verdana"/>
          <w:sz w:val="20"/>
        </w:rPr>
        <w:t xml:space="preserve"> июня </w:t>
      </w:r>
      <w:r>
        <w:rPr>
          <w:rFonts w:ascii="Verdana" w:hAnsi="Verdana"/>
          <w:sz w:val="20"/>
        </w:rPr>
        <w:t xml:space="preserve">2023</w:t>
      </w:r>
      <w:r>
        <w:rPr>
          <w:rFonts w:ascii="Verdana" w:hAnsi="Verdana"/>
          <w:sz w:val="20"/>
        </w:rPr>
        <w:t xml:space="preserve"> года.</w:t>
      </w:r>
      <w:r/>
    </w:p>
    <w:p>
      <w:pPr>
        <w:jc w:val="both"/>
        <w:spacing w:after="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Акционеры, бюллетени которых будут получены Обществом до даты окончания приема бюллетеней для голосования, считаются принявшими участие в Собрании. </w:t>
      </w:r>
      <w:r/>
    </w:p>
    <w:p>
      <w:pPr>
        <w:jc w:val="both"/>
        <w:rPr>
          <w:sz w:val="20"/>
        </w:rPr>
      </w:pPr>
      <w:r>
        <w:rPr>
          <w:rFonts w:ascii="Verdana" w:hAnsi="Verdana"/>
          <w:b/>
          <w:sz w:val="20"/>
        </w:rPr>
        <w:t xml:space="preserve">Почтовый адрес, по которому должны направляться заполненные бюллетени для голосования: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bCs/>
          <w:sz w:val="20"/>
        </w:rPr>
        <w:t xml:space="preserve">300034, г. Тула, </w:t>
      </w:r>
      <w:r>
        <w:rPr>
          <w:rFonts w:ascii="Verdana" w:hAnsi="Verdana" w:cs="Tahoma"/>
          <w:sz w:val="20"/>
        </w:rPr>
        <w:t xml:space="preserve">ул. Демонстрации, дом 27, корп. 1. </w:t>
      </w:r>
      <w:r>
        <w:rPr>
          <w:rFonts w:ascii="Verdana" w:hAnsi="Verdana" w:cs="Arial"/>
          <w:sz w:val="20"/>
        </w:rPr>
        <w:t xml:space="preserve">Тульский филиал АО «Агентство «РНР». </w:t>
      </w:r>
      <w:r>
        <w:rPr>
          <w:rFonts w:ascii="Verdana" w:hAnsi="Verdana"/>
          <w:b/>
          <w:sz w:val="20"/>
        </w:rPr>
        <w:t xml:space="preserve"> </w:t>
      </w:r>
      <w:r/>
    </w:p>
    <w:p>
      <w:pPr>
        <w:pStyle w:val="672"/>
        <w:ind w:firstLine="0"/>
        <w:spacing w:after="120"/>
        <w:rPr>
          <w:rFonts w:ascii="Verdana" w:hAnsi="Verdana"/>
        </w:rPr>
      </w:pPr>
      <w:r>
        <w:rPr>
          <w:rFonts w:ascii="Verdana" w:hAnsi="Verdana"/>
          <w:b/>
        </w:rPr>
        <w:t xml:space="preserve">Дата, на которую определяются (фиксируются) лица, имеющие право на участие в Собрании</w:t>
      </w:r>
      <w:r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5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июн</w:t>
      </w:r>
      <w:r>
        <w:rPr>
          <w:rFonts w:ascii="Verdana" w:hAnsi="Verdana"/>
        </w:rPr>
        <w:t xml:space="preserve">я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2023</w:t>
      </w:r>
      <w:r>
        <w:rPr>
          <w:rFonts w:ascii="Verdana" w:hAnsi="Verdana"/>
        </w:rPr>
        <w:t xml:space="preserve"> года, 17:00 по московскому времени.</w:t>
      </w:r>
      <w:r/>
    </w:p>
    <w:p>
      <w:pPr>
        <w:jc w:val="both"/>
        <w:rPr>
          <w:rFonts w:ascii="Verdana" w:hAnsi="Verdana" w:cs="Verdana" w:eastAsia="Calibri"/>
          <w:sz w:val="20"/>
          <w:lang w:eastAsia="en-US"/>
        </w:rPr>
      </w:pPr>
      <w:r>
        <w:rPr>
          <w:rFonts w:ascii="Verdana" w:hAnsi="Verdana" w:cs="Verdana" w:eastAsia="Calibri"/>
          <w:sz w:val="20"/>
          <w:lang w:eastAsia="en-US"/>
        </w:rPr>
        <w:t xml:space="preserve">Категории (типы) акций, владельцы которых имеют право голоса по всем или некоторым вопросам повестки дня общего собрания акционеров:</w:t>
      </w:r>
      <w:r/>
    </w:p>
    <w:p>
      <w:pPr>
        <w:jc w:val="both"/>
        <w:rPr>
          <w:rFonts w:ascii="Verdana" w:hAnsi="Verdana" w:cs="Verdana" w:eastAsia="Calibri"/>
          <w:sz w:val="20"/>
          <w:lang w:eastAsia="en-US"/>
        </w:rPr>
      </w:pPr>
      <w:r>
        <w:rPr>
          <w:rFonts w:ascii="Verdana" w:hAnsi="Verdana" w:cs="Verdana" w:eastAsia="Calibri"/>
          <w:sz w:val="20"/>
          <w:lang w:eastAsia="en-US"/>
        </w:rPr>
        <w:t xml:space="preserve">Вопрос</w:t>
      </w:r>
      <w:r>
        <w:rPr>
          <w:rFonts w:ascii="Verdana" w:hAnsi="Verdana" w:cs="Verdana" w:eastAsia="Calibri"/>
          <w:sz w:val="20"/>
          <w:lang w:eastAsia="en-US"/>
        </w:rPr>
        <w:t xml:space="preserve">ы</w:t>
      </w:r>
      <w:r>
        <w:rPr>
          <w:rFonts w:ascii="Verdana" w:hAnsi="Verdana" w:cs="Verdana" w:eastAsia="Calibri"/>
          <w:sz w:val="20"/>
          <w:lang w:eastAsia="en-US"/>
        </w:rPr>
        <w:t xml:space="preserve"> </w:t>
      </w:r>
      <w:r>
        <w:rPr>
          <w:rFonts w:ascii="Verdana" w:hAnsi="Verdana" w:cs="Verdana" w:eastAsia="Calibri"/>
          <w:sz w:val="20"/>
          <w:lang w:eastAsia="en-US"/>
        </w:rPr>
        <w:t xml:space="preserve">1-</w:t>
      </w:r>
      <w:r>
        <w:rPr>
          <w:rFonts w:ascii="Verdana" w:hAnsi="Verdana" w:cs="Verdana" w:eastAsia="Calibri"/>
          <w:sz w:val="20"/>
          <w:lang w:eastAsia="en-US"/>
        </w:rPr>
        <w:t xml:space="preserve">8</w:t>
      </w:r>
      <w:r>
        <w:rPr>
          <w:rFonts w:ascii="Verdana" w:hAnsi="Verdana" w:cs="Verdana" w:eastAsia="Calibri"/>
          <w:sz w:val="20"/>
          <w:lang w:eastAsia="en-US"/>
        </w:rPr>
        <w:t xml:space="preserve"> – обыкновенные и привилегированные акции</w:t>
      </w:r>
      <w:r>
        <w:rPr>
          <w:rFonts w:ascii="Verdana" w:hAnsi="Verdana" w:cs="Verdana" w:eastAsia="Calibri"/>
          <w:sz w:val="20"/>
          <w:lang w:eastAsia="en-US"/>
        </w:rPr>
        <w:t xml:space="preserve"> типа А</w:t>
      </w:r>
      <w:r>
        <w:rPr>
          <w:rFonts w:ascii="Verdana" w:hAnsi="Verdana" w:cs="Verdana" w:eastAsia="Calibri"/>
          <w:sz w:val="20"/>
          <w:lang w:eastAsia="en-US"/>
        </w:rPr>
        <w:t xml:space="preserve">.</w:t>
      </w:r>
      <w:r/>
    </w:p>
    <w:p>
      <w:pPr>
        <w:pStyle w:val="672"/>
        <w:ind w:firstLine="0"/>
        <w:spacing w:after="120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</w:r>
      <w:r/>
    </w:p>
    <w:p>
      <w:pPr>
        <w:pStyle w:val="672"/>
        <w:ind w:firstLine="0"/>
        <w:spacing w:after="1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Повестка дня годового Общего собрания акционеров:</w:t>
      </w:r>
      <w:r/>
    </w:p>
    <w:p>
      <w:pPr>
        <w:pStyle w:val="672"/>
        <w:numPr>
          <w:ilvl w:val="0"/>
          <w:numId w:val="1"/>
        </w:numPr>
        <w:ind w:left="426" w:hanging="426"/>
        <w:rPr>
          <w:rFonts w:ascii="Verdana" w:hAnsi="Verdana"/>
          <w:szCs w:val="17"/>
        </w:rPr>
      </w:pPr>
      <w:r>
        <w:rPr>
          <w:rFonts w:ascii="Verdana" w:hAnsi="Verdana"/>
          <w:szCs w:val="17"/>
        </w:rPr>
        <w:t xml:space="preserve">Об утверждении Положения о Совете директоров Общества в новой редакции.</w:t>
      </w:r>
      <w:r/>
    </w:p>
    <w:p>
      <w:pPr>
        <w:pStyle w:val="672"/>
        <w:numPr>
          <w:ilvl w:val="0"/>
          <w:numId w:val="1"/>
        </w:numPr>
        <w:ind w:left="426" w:hanging="426"/>
        <w:rPr>
          <w:rFonts w:ascii="Verdana" w:hAnsi="Verdana"/>
          <w:szCs w:val="17"/>
        </w:rPr>
      </w:pPr>
      <w:r>
        <w:rPr>
          <w:rFonts w:ascii="Verdana" w:hAnsi="Verdana"/>
          <w:szCs w:val="17"/>
        </w:rPr>
        <w:t xml:space="preserve">Об утверждении годового отчета и годовой бухгалтерской (финансовой) отчетности.</w:t>
      </w:r>
      <w:r/>
    </w:p>
    <w:p>
      <w:pPr>
        <w:pStyle w:val="672"/>
        <w:numPr>
          <w:ilvl w:val="0"/>
          <w:numId w:val="1"/>
        </w:numPr>
        <w:ind w:left="426" w:hanging="426"/>
        <w:rPr>
          <w:rFonts w:ascii="Verdana" w:hAnsi="Verdana"/>
          <w:szCs w:val="17"/>
        </w:rPr>
      </w:pPr>
      <w:r>
        <w:rPr>
          <w:rFonts w:ascii="Verdana" w:hAnsi="Verdana"/>
          <w:szCs w:val="17"/>
        </w:rPr>
        <w:t xml:space="preserve">О распределении прибыли (в том числе о выплате (объявлении) дивидендов) по результатам 2022 года.</w:t>
      </w:r>
      <w:r/>
    </w:p>
    <w:p>
      <w:pPr>
        <w:pStyle w:val="672"/>
        <w:numPr>
          <w:ilvl w:val="0"/>
          <w:numId w:val="1"/>
        </w:numPr>
        <w:ind w:left="426" w:hanging="426"/>
        <w:rPr>
          <w:rFonts w:ascii="Verdana" w:hAnsi="Verdana"/>
          <w:szCs w:val="17"/>
        </w:rPr>
      </w:pPr>
      <w:r>
        <w:rPr>
          <w:rFonts w:ascii="Verdana" w:hAnsi="Verdana"/>
          <w:szCs w:val="17"/>
        </w:rPr>
        <w:t xml:space="preserve">О выплате вознаграждений и компенсаций членам Совета директоров и членам Ревизионной комиссии Общества.</w:t>
      </w:r>
      <w:r/>
    </w:p>
    <w:p>
      <w:pPr>
        <w:pStyle w:val="672"/>
        <w:numPr>
          <w:ilvl w:val="0"/>
          <w:numId w:val="1"/>
        </w:numPr>
        <w:ind w:left="426" w:hanging="426"/>
        <w:rPr>
          <w:rFonts w:ascii="Verdana" w:hAnsi="Verdana"/>
          <w:szCs w:val="17"/>
        </w:rPr>
      </w:pPr>
      <w:r>
        <w:rPr>
          <w:rFonts w:ascii="Verdana" w:hAnsi="Verdana"/>
          <w:szCs w:val="17"/>
        </w:rPr>
        <w:t xml:space="preserve">Об избрании членов Совета директоров.</w:t>
      </w:r>
      <w:r/>
    </w:p>
    <w:p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 xml:space="preserve">Об избрании Генерального директора Общества.</w:t>
      </w:r>
      <w:r/>
    </w:p>
    <w:p>
      <w:pPr>
        <w:pStyle w:val="672"/>
        <w:numPr>
          <w:ilvl w:val="0"/>
          <w:numId w:val="1"/>
        </w:numPr>
        <w:ind w:left="426" w:hanging="426"/>
        <w:rPr>
          <w:rFonts w:ascii="Verdana" w:hAnsi="Verdana"/>
          <w:szCs w:val="17"/>
        </w:rPr>
      </w:pPr>
      <w:r>
        <w:rPr>
          <w:rFonts w:ascii="Verdana" w:hAnsi="Verdana"/>
          <w:szCs w:val="17"/>
        </w:rPr>
        <w:t xml:space="preserve">Об избрании членов Ревизионной комиссии.</w:t>
      </w:r>
      <w:r/>
    </w:p>
    <w:p>
      <w:pPr>
        <w:pStyle w:val="672"/>
        <w:numPr>
          <w:ilvl w:val="0"/>
          <w:numId w:val="1"/>
        </w:numPr>
        <w:ind w:left="426" w:hanging="426"/>
        <w:tabs>
          <w:tab w:val="left" w:pos="426" w:leader="none"/>
        </w:tabs>
        <w:rPr>
          <w:rFonts w:ascii="Verdana" w:hAnsi="Verdana"/>
          <w:szCs w:val="17"/>
        </w:rPr>
      </w:pPr>
      <w:r>
        <w:rPr>
          <w:rFonts w:ascii="Verdana" w:hAnsi="Verdana"/>
          <w:szCs w:val="17"/>
        </w:rPr>
        <w:t xml:space="preserve">О назначении аудитора.</w:t>
      </w:r>
      <w:r/>
    </w:p>
    <w:p>
      <w:pPr>
        <w:pStyle w:val="680"/>
        <w:ind w:left="0" w:right="-1"/>
        <w:jc w:val="both"/>
        <w:spacing w:after="0" w:line="240" w:lineRule="auto"/>
        <w:tabs>
          <w:tab w:val="left" w:pos="284" w:leader="none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  <w:r/>
    </w:p>
    <w:p>
      <w:pPr>
        <w:pStyle w:val="672"/>
        <w:ind w:firstLine="540"/>
        <w:spacing w:before="40" w:after="40"/>
        <w:rPr>
          <w:rFonts w:ascii="Verdana" w:hAnsi="Verdana"/>
        </w:rPr>
      </w:pPr>
      <w:r>
        <w:rPr>
          <w:rFonts w:ascii="Verdana" w:hAnsi="Verdana"/>
        </w:rPr>
        <w:t xml:space="preserve">С информацией (материалами), подлежащей предоставлению акционерам при подготовке к проведению Общего собрания акционеров, можно ознакомиться</w:t>
      </w:r>
      <w:r>
        <w:rPr>
          <w:rFonts w:ascii="Verdana" w:hAnsi="Verdana"/>
        </w:rPr>
        <w:t xml:space="preserve"> с </w:t>
      </w:r>
      <w:r>
        <w:rPr>
          <w:rFonts w:ascii="Verdana" w:hAnsi="Verdana"/>
          <w:b/>
        </w:rPr>
        <w:t xml:space="preserve">1</w:t>
      </w:r>
      <w:r>
        <w:rPr>
          <w:rFonts w:ascii="Verdana" w:hAnsi="Verdana"/>
          <w:b/>
        </w:rPr>
        <w:t xml:space="preserve">0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июн</w:t>
      </w:r>
      <w:r>
        <w:rPr>
          <w:rFonts w:ascii="Verdana" w:hAnsi="Verdana"/>
          <w:b/>
        </w:rPr>
        <w:t xml:space="preserve">я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2023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года</w:t>
      </w:r>
      <w:r>
        <w:rPr>
          <w:rFonts w:ascii="Verdana" w:hAnsi="Verdana"/>
        </w:rPr>
        <w:t xml:space="preserve"> в любое время в течение рабочего дня по адресу: 603001, Российская Федерация, г. Нижний Новгород, пл. Маркина, д.15А.</w:t>
      </w:r>
      <w:r>
        <w:rPr>
          <w:rFonts w:ascii="Verdana" w:hAnsi="Verdana"/>
        </w:rPr>
        <w:t xml:space="preserve"> </w:t>
      </w:r>
      <w:r/>
    </w:p>
    <w:p>
      <w:pPr>
        <w:pStyle w:val="67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  <w:r/>
    </w:p>
    <w:p>
      <w:pPr>
        <w:pStyle w:val="678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Регистратор АО «</w:t>
      </w:r>
      <w:r>
        <w:rPr>
          <w:rFonts w:ascii="Verdana" w:hAnsi="Verdana"/>
          <w:sz w:val="20"/>
          <w:szCs w:val="20"/>
        </w:rPr>
        <w:t xml:space="preserve">Волга - флот</w:t>
      </w:r>
      <w:r>
        <w:rPr>
          <w:rFonts w:ascii="Verdana" w:hAnsi="Verdana"/>
          <w:sz w:val="20"/>
          <w:szCs w:val="20"/>
        </w:rPr>
        <w:t xml:space="preserve">» - </w:t>
      </w:r>
      <w:r>
        <w:rPr>
          <w:rFonts w:ascii="Verdana" w:hAnsi="Verdana" w:cs="Arial"/>
          <w:sz w:val="20"/>
          <w:szCs w:val="20"/>
        </w:rPr>
        <w:t xml:space="preserve">Тульский филиал А</w:t>
      </w:r>
      <w:r>
        <w:rPr>
          <w:rFonts w:ascii="Verdana" w:hAnsi="Verdana" w:cs="Arial"/>
          <w:sz w:val="20"/>
          <w:szCs w:val="20"/>
        </w:rPr>
        <w:t xml:space="preserve">кционерного общества</w:t>
      </w:r>
      <w:r>
        <w:rPr>
          <w:rFonts w:ascii="Verdana" w:hAnsi="Verdana" w:cs="Arial"/>
          <w:sz w:val="20"/>
          <w:szCs w:val="20"/>
        </w:rPr>
        <w:t xml:space="preserve"> «Агентство «Региональный независимый регистратор». </w:t>
      </w:r>
      <w:r>
        <w:rPr>
          <w:rFonts w:ascii="Verdana" w:hAnsi="Verdana" w:cs="Arial"/>
          <w:bCs/>
          <w:sz w:val="20"/>
          <w:szCs w:val="20"/>
        </w:rPr>
        <w:t xml:space="preserve">300034, г. Тула, </w:t>
      </w:r>
      <w:r>
        <w:rPr>
          <w:rFonts w:ascii="Verdana" w:hAnsi="Verdana" w:cs="Tahoma"/>
          <w:sz w:val="20"/>
          <w:szCs w:val="20"/>
        </w:rPr>
        <w:t xml:space="preserve">ул. Демонстрации, дом 27, корп. 1. </w:t>
      </w:r>
      <w:r>
        <w:rPr>
          <w:rFonts w:ascii="Verdana" w:hAnsi="Verdana" w:cs="Arial"/>
          <w:sz w:val="20"/>
          <w:szCs w:val="20"/>
        </w:rPr>
        <w:t xml:space="preserve">Телефон регистратора – </w:t>
      </w:r>
      <w:r>
        <w:rPr>
          <w:rFonts w:ascii="Verdana" w:hAnsi="Verdana" w:cs="Tahoma"/>
          <w:sz w:val="20"/>
          <w:szCs w:val="20"/>
        </w:rPr>
        <w:t xml:space="preserve">(4872) 25 09 11, </w:t>
      </w:r>
      <w:r>
        <w:rPr>
          <w:rFonts w:ascii="Verdana" w:hAnsi="Verdana" w:cs="Arial"/>
          <w:sz w:val="20"/>
          <w:szCs w:val="20"/>
        </w:rPr>
        <w:t xml:space="preserve">факс: (4872) </w:t>
      </w:r>
      <w:r>
        <w:rPr>
          <w:rFonts w:ascii="Verdana" w:hAnsi="Verdana" w:cs="Tahoma"/>
          <w:sz w:val="20"/>
          <w:szCs w:val="20"/>
        </w:rPr>
        <w:t xml:space="preserve">30 19 92</w:t>
      </w:r>
      <w:r>
        <w:rPr>
          <w:rFonts w:ascii="Verdana" w:hAnsi="Verdana" w:cs="Arial"/>
          <w:sz w:val="20"/>
          <w:szCs w:val="20"/>
        </w:rPr>
        <w:t xml:space="preserve">.</w:t>
      </w:r>
      <w:r>
        <w:rPr>
          <w:rFonts w:ascii="Verdana" w:hAnsi="Verdana"/>
          <w:sz w:val="20"/>
          <w:szCs w:val="20"/>
        </w:rPr>
        <w:t xml:space="preserve">  </w:t>
      </w:r>
      <w:r/>
    </w:p>
    <w:p>
      <w:pPr>
        <w:pStyle w:val="674"/>
        <w:ind w:right="-30"/>
        <w:rPr>
          <w:rFonts w:ascii="Verdana" w:hAnsi="Verdana"/>
          <w:b w:val="0"/>
          <w:bCs/>
        </w:rPr>
      </w:pPr>
      <w:r>
        <w:rPr>
          <w:rFonts w:ascii="Verdana" w:hAnsi="Verdana"/>
          <w:b w:val="0"/>
          <w:bCs/>
        </w:rPr>
      </w:r>
      <w:r/>
    </w:p>
    <w:p>
      <w:pPr>
        <w:pStyle w:val="674"/>
        <w:ind w:right="-30"/>
        <w:rPr>
          <w:rFonts w:ascii="Verdana" w:hAnsi="Verdana"/>
          <w:b w:val="0"/>
          <w:bCs/>
        </w:rPr>
      </w:pPr>
      <w:r>
        <w:rPr>
          <w:rFonts w:ascii="Verdana" w:hAnsi="Verdana"/>
          <w:b w:val="0"/>
          <w:bCs/>
        </w:rPr>
      </w:r>
      <w:r/>
    </w:p>
    <w:p>
      <w:pPr>
        <w:pStyle w:val="674"/>
        <w:ind w:right="-30"/>
        <w:rPr>
          <w:rFonts w:ascii="Verdana" w:hAnsi="Verdana"/>
        </w:rPr>
      </w:pPr>
      <w:r>
        <w:rPr>
          <w:rFonts w:ascii="Verdana" w:hAnsi="Verdana"/>
          <w:b w:val="0"/>
          <w:bCs/>
        </w:rPr>
        <w:t xml:space="preserve">Совет директоров АО «</w:t>
      </w:r>
      <w:r>
        <w:rPr>
          <w:rFonts w:ascii="Verdana" w:hAnsi="Verdana"/>
          <w:b w:val="0"/>
          <w:bCs/>
        </w:rPr>
        <w:t xml:space="preserve">Волга - флот</w:t>
      </w:r>
      <w:r>
        <w:rPr>
          <w:rFonts w:ascii="Verdana" w:hAnsi="Verdana"/>
          <w:b w:val="0"/>
          <w:bCs/>
        </w:rPr>
        <w:t xml:space="preserve">»</w:t>
      </w:r>
      <w:r>
        <w:rPr>
          <w:rFonts w:ascii="Verdana" w:hAnsi="Verdana"/>
        </w:rPr>
        <w:t xml:space="preserve">  </w:t>
      </w:r>
      <w:r/>
    </w:p>
    <w:sectPr>
      <w:headerReference w:type="default" r:id="rId9"/>
      <w:footnotePr/>
      <w:endnotePr/>
      <w:type w:val="nextPage"/>
      <w:pgSz w:w="11906" w:h="16838" w:orient="portrait"/>
      <w:pgMar w:top="680" w:right="567" w:bottom="624" w:left="1021" w:header="284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Verdana">
    <w:panose1 w:val="020B06040305040402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  <w:br/>
    </w:r>
    <w:r/>
  </w:p>
  <w:p>
    <w:pPr>
      <w:pStyle w:val="676"/>
      <w:jc w:val="right"/>
      <w:rPr>
        <w:b/>
        <w:i/>
        <w:sz w:val="18"/>
        <w:szCs w:val="18"/>
      </w:rPr>
    </w:pPr>
    <w:r>
      <w:rPr>
        <w:b/>
        <w:i/>
        <w:sz w:val="18"/>
        <w:szCs w:val="18"/>
      </w:rPr>
    </w:r>
    <w:r/>
  </w:p>
  <w:p>
    <w:pPr>
      <w:pStyle w:val="676"/>
      <w:ind w:right="-455" w:hanging="567"/>
      <w:jc w:val="right"/>
      <w:tabs>
        <w:tab w:val="clear" w:pos="9355" w:leader="none"/>
      </w:tabs>
      <w:rPr>
        <w:rFonts w:ascii="Verdana" w:hAnsi="Verdana"/>
        <w:b/>
        <w:bCs/>
        <w:i/>
        <w:iCs/>
        <w:sz w:val="8"/>
        <w:szCs w:val="8"/>
      </w:rPr>
    </w:pPr>
    <w:r>
      <w:rPr>
        <w:rFonts w:ascii="Verdana" w:hAnsi="Verdana"/>
        <w:b/>
        <w:bCs/>
        <w:i/>
        <w:iCs/>
        <w:sz w:val="8"/>
        <w:szCs w:val="8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Verdana" w:hAnsi="Verdana" w:hint="default"/>
        <w:sz w:val="1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20" w:hanging="360"/>
        <w:tabs>
          <w:tab w:val="num" w:pos="720" w:leader="none"/>
        </w:tabs>
      </w:pPr>
      <w:rPr>
        <w:rFonts w:ascii="Verdana" w:hAnsi="Verdana" w:hint="default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0" w:hanging="360"/>
        <w:tabs>
          <w:tab w:val="num" w:pos="13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40" w:hanging="360"/>
        <w:tabs>
          <w:tab w:val="num" w:pos="20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60" w:hanging="360"/>
        <w:tabs>
          <w:tab w:val="num" w:pos="27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80" w:hanging="360"/>
        <w:tabs>
          <w:tab w:val="num" w:pos="34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00" w:hanging="360"/>
        <w:tabs>
          <w:tab w:val="num" w:pos="42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920" w:hanging="360"/>
        <w:tabs>
          <w:tab w:val="num" w:pos="49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40" w:hanging="360"/>
        <w:tabs>
          <w:tab w:val="num" w:pos="56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60" w:hanging="360"/>
        <w:tabs>
          <w:tab w:val="num" w:pos="63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80" w:hanging="360"/>
        <w:tabs>
          <w:tab w:val="num" w:pos="7080" w:leader="none"/>
        </w:tabs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6"/>
    <w:link w:val="66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6"/>
    <w:link w:val="664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2"/>
    <w:next w:val="66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6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66"/>
    <w:link w:val="665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2"/>
    <w:next w:val="66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2"/>
    <w:next w:val="66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2"/>
    <w:next w:val="66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2"/>
    <w:next w:val="66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2"/>
    <w:next w:val="66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2"/>
    <w:next w:val="66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6"/>
    <w:link w:val="32"/>
    <w:uiPriority w:val="10"/>
    <w:rPr>
      <w:sz w:val="48"/>
      <w:szCs w:val="48"/>
    </w:rPr>
  </w:style>
  <w:style w:type="paragraph" w:styleId="34">
    <w:name w:val="Subtitle"/>
    <w:basedOn w:val="662"/>
    <w:next w:val="66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6"/>
    <w:link w:val="34"/>
    <w:uiPriority w:val="11"/>
    <w:rPr>
      <w:sz w:val="24"/>
      <w:szCs w:val="24"/>
    </w:rPr>
  </w:style>
  <w:style w:type="paragraph" w:styleId="36">
    <w:name w:val="Quote"/>
    <w:basedOn w:val="662"/>
    <w:next w:val="66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2"/>
    <w:next w:val="66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6"/>
    <w:link w:val="676"/>
    <w:uiPriority w:val="99"/>
  </w:style>
  <w:style w:type="character" w:styleId="43">
    <w:name w:val="Footer Char"/>
    <w:basedOn w:val="666"/>
    <w:link w:val="683"/>
    <w:uiPriority w:val="99"/>
  </w:style>
  <w:style w:type="paragraph" w:styleId="44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83"/>
    <w:uiPriority w:val="99"/>
  </w:style>
  <w:style w:type="table" w:styleId="46">
    <w:name w:val="Table Grid"/>
    <w:basedOn w:val="6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6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6"/>
    <w:uiPriority w:val="99"/>
    <w:unhideWhenUsed/>
    <w:rPr>
      <w:vertAlign w:val="superscript"/>
    </w:rPr>
  </w:style>
  <w:style w:type="paragraph" w:styleId="176">
    <w:name w:val="endnote text"/>
    <w:basedOn w:val="66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6"/>
    <w:uiPriority w:val="99"/>
    <w:semiHidden/>
    <w:unhideWhenUsed/>
    <w:rPr>
      <w:vertAlign w:val="superscript"/>
    </w:rPr>
  </w:style>
  <w:style w:type="paragraph" w:styleId="179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663">
    <w:name w:val="Heading 1"/>
    <w:basedOn w:val="662"/>
    <w:next w:val="662"/>
    <w:link w:val="669"/>
    <w:qFormat/>
    <w:pPr>
      <w:jc w:val="center"/>
      <w:keepNext/>
      <w:outlineLvl w:val="0"/>
    </w:pPr>
    <w:rPr>
      <w:b/>
    </w:rPr>
  </w:style>
  <w:style w:type="paragraph" w:styleId="664">
    <w:name w:val="Heading 2"/>
    <w:basedOn w:val="662"/>
    <w:next w:val="662"/>
    <w:link w:val="670"/>
    <w:qFormat/>
    <w:pPr>
      <w:ind w:firstLine="567"/>
      <w:jc w:val="both"/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utlineLvl w:val="1"/>
    </w:pPr>
    <w:rPr>
      <w:b/>
      <w:sz w:val="20"/>
    </w:rPr>
  </w:style>
  <w:style w:type="paragraph" w:styleId="665">
    <w:name w:val="Heading 4"/>
    <w:basedOn w:val="662"/>
    <w:next w:val="662"/>
    <w:link w:val="671"/>
    <w:qFormat/>
    <w:pPr>
      <w:ind w:firstLine="567"/>
      <w:jc w:val="both"/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utlineLvl w:val="3"/>
    </w:pPr>
    <w:rPr>
      <w:b/>
      <w:sz w:val="22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Заголовок 1 Знак"/>
    <w:basedOn w:val="666"/>
    <w:link w:val="663"/>
    <w:rPr>
      <w:rFonts w:ascii="Times New Roman" w:hAnsi="Times New Roman" w:cs="Times New Roman" w:eastAsia="Times New Roman"/>
      <w:b/>
      <w:sz w:val="24"/>
      <w:szCs w:val="20"/>
      <w:lang w:eastAsia="ru-RU"/>
    </w:rPr>
  </w:style>
  <w:style w:type="character" w:styleId="670" w:customStyle="1">
    <w:name w:val="Заголовок 2 Знак"/>
    <w:basedOn w:val="666"/>
    <w:link w:val="664"/>
    <w:rPr>
      <w:rFonts w:ascii="Times New Roman" w:hAnsi="Times New Roman" w:cs="Times New Roman" w:eastAsia="Times New Roman"/>
      <w:b/>
      <w:sz w:val="20"/>
      <w:szCs w:val="20"/>
      <w:lang w:eastAsia="ru-RU"/>
    </w:rPr>
  </w:style>
  <w:style w:type="character" w:styleId="671" w:customStyle="1">
    <w:name w:val="Заголовок 4 Знак"/>
    <w:basedOn w:val="666"/>
    <w:link w:val="665"/>
    <w:rPr>
      <w:rFonts w:ascii="Times New Roman" w:hAnsi="Times New Roman" w:cs="Times New Roman" w:eastAsia="Times New Roman"/>
      <w:b/>
      <w:szCs w:val="20"/>
      <w:lang w:eastAsia="ru-RU"/>
    </w:rPr>
  </w:style>
  <w:style w:type="paragraph" w:styleId="672">
    <w:name w:val="Body Text Indent"/>
    <w:basedOn w:val="662"/>
    <w:link w:val="673"/>
    <w:semiHidden/>
    <w:pPr>
      <w:ind w:firstLine="567"/>
      <w:jc w:val="both"/>
    </w:pPr>
    <w:rPr>
      <w:sz w:val="20"/>
    </w:rPr>
  </w:style>
  <w:style w:type="character" w:styleId="673" w:customStyle="1">
    <w:name w:val="Основной текст с отступом Знак"/>
    <w:basedOn w:val="666"/>
    <w:link w:val="672"/>
    <w:semiHidden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674">
    <w:name w:val="Body Text 3"/>
    <w:basedOn w:val="662"/>
    <w:link w:val="675"/>
    <w:semiHidden/>
    <w:pPr>
      <w:jc w:val="right"/>
    </w:pPr>
    <w:rPr>
      <w:b/>
      <w:sz w:val="20"/>
    </w:rPr>
  </w:style>
  <w:style w:type="character" w:styleId="675" w:customStyle="1">
    <w:name w:val="Основной текст 3 Знак"/>
    <w:basedOn w:val="666"/>
    <w:link w:val="674"/>
    <w:semiHidden/>
    <w:rPr>
      <w:rFonts w:ascii="Times New Roman" w:hAnsi="Times New Roman" w:cs="Times New Roman" w:eastAsia="Times New Roman"/>
      <w:b/>
      <w:sz w:val="20"/>
      <w:szCs w:val="20"/>
      <w:lang w:eastAsia="ru-RU"/>
    </w:rPr>
  </w:style>
  <w:style w:type="paragraph" w:styleId="676">
    <w:name w:val="Header"/>
    <w:basedOn w:val="662"/>
    <w:link w:val="677"/>
    <w:uiPriority w:val="99"/>
    <w:pPr>
      <w:tabs>
        <w:tab w:val="center" w:pos="4677" w:leader="none"/>
        <w:tab w:val="right" w:pos="9355" w:leader="none"/>
      </w:tabs>
    </w:pPr>
  </w:style>
  <w:style w:type="character" w:styleId="677" w:customStyle="1">
    <w:name w:val="Верхний колонтитул Знак"/>
    <w:basedOn w:val="666"/>
    <w:link w:val="676"/>
    <w:uiPriority w:val="99"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678">
    <w:name w:val="Body Text"/>
    <w:basedOn w:val="662"/>
    <w:link w:val="679"/>
    <w:unhideWhenUsed/>
    <w:pPr>
      <w:spacing w:after="120"/>
    </w:pPr>
    <w:rPr>
      <w:szCs w:val="24"/>
    </w:rPr>
  </w:style>
  <w:style w:type="character" w:styleId="679" w:customStyle="1">
    <w:name w:val="Основной текст Знак"/>
    <w:basedOn w:val="666"/>
    <w:link w:val="678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80">
    <w:name w:val="List Paragraph"/>
    <w:basedOn w:val="662"/>
    <w:link w:val="6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681">
    <w:name w:val="Strong"/>
    <w:qFormat/>
    <w:rPr>
      <w:b/>
      <w:bCs/>
    </w:rPr>
  </w:style>
  <w:style w:type="paragraph" w:styleId="682" w:customStyle="1">
    <w:name w:val="Text"/>
    <w:basedOn w:val="662"/>
    <w:pPr>
      <w:spacing w:after="240"/>
    </w:pPr>
    <w:rPr>
      <w:lang w:val="en-US" w:eastAsia="en-US"/>
    </w:rPr>
  </w:style>
  <w:style w:type="paragraph" w:styleId="683">
    <w:name w:val="Footer"/>
    <w:basedOn w:val="662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 w:customStyle="1">
    <w:name w:val="Нижний колонтитул Знак"/>
    <w:basedOn w:val="666"/>
    <w:link w:val="683"/>
    <w:uiPriority w:val="99"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685">
    <w:name w:val="Balloon Text"/>
    <w:basedOn w:val="662"/>
    <w:link w:val="68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6" w:customStyle="1">
    <w:name w:val="Текст выноски Знак"/>
    <w:basedOn w:val="666"/>
    <w:link w:val="685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character" w:styleId="687" w:customStyle="1">
    <w:name w:val="blk"/>
    <w:basedOn w:val="666"/>
    <w:rPr>
      <w:rFonts w:ascii="Times New Roman" w:hAnsi="Times New Roman" w:cs="Times New Roman" w:hint="default"/>
    </w:rPr>
  </w:style>
  <w:style w:type="character" w:styleId="688" w:customStyle="1">
    <w:name w:val="Абзац списка Знак"/>
    <w:link w:val="680"/>
    <w:uiPriority w:val="34"/>
    <w:rPr>
      <w:rFonts w:ascii="Calibri" w:hAnsi="Calibri" w:cs="Times New Roman" w:eastAsia="Calibri"/>
    </w:rPr>
  </w:style>
  <w:style w:type="character" w:styleId="689">
    <w:name w:val="Hyperlink"/>
    <w:basedOn w:val="666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Светлана Смирнова</cp:lastModifiedBy>
  <cp:revision>51</cp:revision>
  <dcterms:created xsi:type="dcterms:W3CDTF">2019-03-15T12:42:00Z</dcterms:created>
  <dcterms:modified xsi:type="dcterms:W3CDTF">2023-05-30T13:20:41Z</dcterms:modified>
</cp:coreProperties>
</file>