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AC9" w:rsidRPr="00D4537A" w:rsidRDefault="00302AC9" w:rsidP="00302AC9">
      <w:pPr>
        <w:spacing w:after="0" w:line="240" w:lineRule="auto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t>сообщение о существенном факте.</w:t>
      </w:r>
      <w:r w:rsidRPr="00D4537A">
        <w:rPr>
          <w:rFonts w:ascii="Verdana" w:eastAsia="Times New Roman" w:hAnsi="Verdana" w:cs="Verdana"/>
          <w:b/>
          <w:bCs/>
          <w:caps/>
          <w:sz w:val="18"/>
          <w:szCs w:val="18"/>
          <w:lang w:eastAsia="ru-RU"/>
        </w:rPr>
        <w:br/>
      </w:r>
    </w:p>
    <w:p w:rsidR="00302AC9" w:rsidRPr="00EB38CE" w:rsidRDefault="00302AC9" w:rsidP="00302AC9">
      <w:pPr>
        <w:spacing w:after="0" w:line="240" w:lineRule="auto"/>
        <w:jc w:val="center"/>
        <w:rPr>
          <w:rFonts w:ascii="Verdana" w:eastAsia="Times New Roman" w:hAnsi="Verdana" w:cs="Verdana"/>
          <w:smallCaps/>
          <w:szCs w:val="18"/>
          <w:lang w:eastAsia="ru-RU"/>
        </w:rPr>
      </w:pPr>
      <w:r w:rsidRPr="00EB38CE">
        <w:rPr>
          <w:rFonts w:ascii="Verdana" w:eastAsia="Times New Roman" w:hAnsi="Verdana" w:cs="Verdana"/>
          <w:smallCaps/>
          <w:szCs w:val="18"/>
          <w:lang w:eastAsia="ru-RU"/>
        </w:rPr>
        <w:t>о совершении эмитентом существенной сделки</w:t>
      </w:r>
    </w:p>
    <w:p w:rsidR="00302AC9" w:rsidRPr="00D4537A" w:rsidRDefault="00302AC9" w:rsidP="00302AC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Verdana" w:eastAsia="Calibri" w:hAnsi="Verdana" w:cs="Verdana"/>
          <w:sz w:val="18"/>
          <w:szCs w:val="18"/>
        </w:rPr>
      </w:pPr>
    </w:p>
    <w:p w:rsidR="00302AC9" w:rsidRPr="00D4537A" w:rsidRDefault="00302AC9" w:rsidP="00302AC9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>1. Общие сведения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D4537A">
        <w:rPr>
          <w:rFonts w:ascii="Verdana" w:eastAsia="Times New Roman" w:hAnsi="Verdana" w:cs="Verdana"/>
          <w:sz w:val="18"/>
          <w:szCs w:val="18"/>
          <w:lang w:eastAsia="ru-RU"/>
        </w:rPr>
        <w:t xml:space="preserve">1.1. Полное фирменное наименование эмитента: </w:t>
      </w:r>
      <w:r w:rsidRPr="00D4537A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Акционерное общество «Судоходная компания «Волжское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пароходство».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1.2. Сокращенное наименование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АО «Волга-флот».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1.3. Место нахождения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603001, Российская Федерация, г. Нижний Новгород, пл. Маркина, д.15А.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1.4. ОГРН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1025203016717.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1.5. ИНН эмитента: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5260902190.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1.6. Уникальный код эмитента, присвоенный регистрирующим органом: </w:t>
      </w:r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>00023-A.</w:t>
      </w:r>
    </w:p>
    <w:p w:rsidR="00302AC9" w:rsidRPr="0013623D" w:rsidRDefault="00302AC9" w:rsidP="00302AC9">
      <w:pPr>
        <w:spacing w:after="12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 xml:space="preserve">1.7. Адрес страницы в сети Интернет, используемой эмитентом для раскрытия информации: </w:t>
      </w:r>
      <w:hyperlink r:id="rId5" w:history="1"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http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://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www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volgaflot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.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com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aktsioneram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investoram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soobshcheniya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o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sushchestvennykh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-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val="en-US" w:eastAsia="ru-RU"/>
          </w:rPr>
          <w:t>faktakh</w:t>
        </w:r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/</w:t>
        </w:r>
      </w:hyperlink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, </w:t>
      </w:r>
      <w:hyperlink r:id="rId6" w:history="1">
        <w:r w:rsidRPr="0013623D">
          <w:rPr>
            <w:rFonts w:ascii="Verdana" w:eastAsia="Times New Roman" w:hAnsi="Verdana" w:cs="Verdana"/>
            <w:b/>
            <w:bCs/>
            <w:color w:val="0000FF"/>
            <w:sz w:val="18"/>
            <w:szCs w:val="18"/>
            <w:u w:val="single"/>
            <w:lang w:eastAsia="ru-RU"/>
          </w:rPr>
          <w:t>http://www.e-disclosure.ru/portal/company.aspx?id=288</w:t>
        </w:r>
      </w:hyperlink>
      <w:r w:rsidRPr="0013623D">
        <w:rPr>
          <w:rFonts w:ascii="Verdana" w:eastAsia="Times New Roman" w:hAnsi="Verdana" w:cs="Verdana"/>
          <w:b/>
          <w:bCs/>
          <w:sz w:val="18"/>
          <w:szCs w:val="18"/>
          <w:lang w:eastAsia="ru-RU"/>
        </w:rPr>
        <w:t xml:space="preserve"> </w:t>
      </w:r>
    </w:p>
    <w:p w:rsidR="00302AC9" w:rsidRPr="0013623D" w:rsidRDefault="00302AC9" w:rsidP="00302AC9">
      <w:pPr>
        <w:spacing w:after="120" w:line="240" w:lineRule="auto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13623D">
        <w:rPr>
          <w:rFonts w:ascii="Verdana" w:eastAsia="Times New Roman" w:hAnsi="Verdana" w:cs="Verdana"/>
          <w:sz w:val="18"/>
          <w:szCs w:val="18"/>
          <w:lang w:eastAsia="ru-RU"/>
        </w:rPr>
        <w:t>2. Содержание сообщения</w:t>
      </w:r>
    </w:p>
    <w:p w:rsidR="00302AC9" w:rsidRPr="00D43BF8" w:rsidRDefault="00302AC9" w:rsidP="00EB38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 w:rsidRPr="00D43BF8">
        <w:rPr>
          <w:rFonts w:ascii="Verdana" w:eastAsia="Calibri" w:hAnsi="Verdana" w:cs="Verdana"/>
          <w:sz w:val="18"/>
          <w:szCs w:val="18"/>
        </w:rPr>
        <w:t>2.1. В</w:t>
      </w:r>
      <w:r w:rsidRPr="00D43BF8">
        <w:rPr>
          <w:rFonts w:ascii="Verdana" w:hAnsi="Verdana"/>
          <w:sz w:val="18"/>
          <w:szCs w:val="18"/>
        </w:rPr>
        <w:t xml:space="preserve">ид организации, которая совершила существенную сделку: </w:t>
      </w:r>
      <w:r w:rsidRPr="00D43BF8">
        <w:rPr>
          <w:rFonts w:ascii="Verdana" w:hAnsi="Verdana"/>
          <w:b/>
          <w:sz w:val="18"/>
          <w:szCs w:val="18"/>
        </w:rPr>
        <w:t>эмитент.</w:t>
      </w:r>
    </w:p>
    <w:p w:rsidR="00302AC9" w:rsidRPr="00D43BF8" w:rsidRDefault="00302AC9" w:rsidP="00EB38C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sz w:val="18"/>
          <w:szCs w:val="18"/>
        </w:rPr>
      </w:pPr>
      <w:r w:rsidRPr="00D43BF8">
        <w:rPr>
          <w:rFonts w:ascii="Verdana" w:eastAsia="Calibri" w:hAnsi="Verdana" w:cs="Verdana"/>
          <w:sz w:val="18"/>
          <w:szCs w:val="18"/>
        </w:rPr>
        <w:t xml:space="preserve">2.2. Категория сделки: </w:t>
      </w:r>
      <w:r w:rsidR="00A3499A" w:rsidRPr="00D43BF8">
        <w:rPr>
          <w:rFonts w:ascii="Verdana" w:eastAsia="Calibri" w:hAnsi="Verdana" w:cs="Verdana"/>
          <w:b/>
          <w:sz w:val="18"/>
          <w:szCs w:val="18"/>
        </w:rPr>
        <w:t>существенная сделка, не являющаяся крупной</w:t>
      </w:r>
      <w:r w:rsidRPr="00D43BF8">
        <w:rPr>
          <w:rFonts w:ascii="Verdana" w:eastAsia="Calibri" w:hAnsi="Verdana" w:cs="Verdana"/>
          <w:b/>
          <w:sz w:val="18"/>
          <w:szCs w:val="18"/>
        </w:rPr>
        <w:t>.</w:t>
      </w:r>
    </w:p>
    <w:p w:rsidR="00302AC9" w:rsidRPr="00D43BF8" w:rsidRDefault="00302AC9" w:rsidP="00EB38CE">
      <w:pPr>
        <w:pStyle w:val="a5"/>
        <w:tabs>
          <w:tab w:val="left" w:pos="425"/>
        </w:tabs>
        <w:spacing w:after="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D43BF8">
        <w:rPr>
          <w:rFonts w:ascii="Verdana" w:eastAsia="Calibri" w:hAnsi="Verdana" w:cs="Verdana"/>
          <w:sz w:val="18"/>
          <w:szCs w:val="18"/>
        </w:rPr>
        <w:t xml:space="preserve">2.3. Вид и предмет сделки: </w:t>
      </w:r>
      <w:r w:rsidR="00CB44C6" w:rsidRPr="00D43BF8">
        <w:rPr>
          <w:rFonts w:ascii="Verdana" w:hAnsi="Verdana" w:cs="Times New Roman"/>
          <w:b/>
          <w:sz w:val="18"/>
          <w:szCs w:val="18"/>
        </w:rPr>
        <w:t xml:space="preserve">Договор </w:t>
      </w:r>
      <w:r w:rsidR="00CB44C6" w:rsidRPr="00D43BF8">
        <w:rPr>
          <w:rFonts w:ascii="Verdana" w:hAnsi="Verdana" w:cs="Times New Roman"/>
          <w:b/>
          <w:bCs/>
          <w:sz w:val="18"/>
          <w:szCs w:val="18"/>
        </w:rPr>
        <w:t>об ипотеке;</w:t>
      </w:r>
      <w:r w:rsidRPr="00D43BF8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предмет сделки – </w:t>
      </w:r>
      <w:r w:rsidR="00CB44C6" w:rsidRPr="00D43BF8">
        <w:rPr>
          <w:rFonts w:ascii="Verdana" w:hAnsi="Verdana"/>
          <w:b/>
          <w:sz w:val="18"/>
          <w:szCs w:val="18"/>
        </w:rPr>
        <w:t>обеспечение Залогодателем исполнения своих обязательств перед Залогодержателем по Соглашению № 12699-</w:t>
      </w:r>
      <w:r w:rsidR="00CB44C6" w:rsidRPr="00D43BF8">
        <w:rPr>
          <w:rFonts w:ascii="Verdana" w:hAnsi="Verdana"/>
          <w:b/>
          <w:sz w:val="18"/>
          <w:szCs w:val="18"/>
          <w:lang w:val="en-US"/>
        </w:rPr>
        <w:t>MSK</w:t>
      </w:r>
      <w:r w:rsidR="00CB44C6" w:rsidRPr="00D43BF8">
        <w:rPr>
          <w:rFonts w:ascii="Verdana" w:hAnsi="Verdana"/>
          <w:b/>
          <w:sz w:val="18"/>
          <w:szCs w:val="18"/>
        </w:rPr>
        <w:t xml:space="preserve"> об условиях и порядке открытия кредитной линии с лимитом выдачи («Соглашение») и иных обязательств, которые более подробно определены в статье 2 Договора («Обеспечиваемое обязательство»), путем передачи Залогодержателю в залог недвижимых вещей, которые более подробно определены в Договоре («Заложенное имущество»)</w:t>
      </w:r>
      <w:r w:rsidRPr="00D43BF8">
        <w:rPr>
          <w:rFonts w:ascii="Verdana" w:eastAsia="Times New Roman" w:hAnsi="Verdana" w:cs="Times New Roman"/>
          <w:b/>
          <w:sz w:val="18"/>
          <w:szCs w:val="18"/>
          <w:lang w:eastAsia="ru-RU"/>
        </w:rPr>
        <w:t>.</w:t>
      </w:r>
      <w:r w:rsidRPr="00D43BF8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 xml:space="preserve"> </w:t>
      </w:r>
    </w:p>
    <w:p w:rsidR="00302AC9" w:rsidRPr="00EB38CE" w:rsidRDefault="00302AC9" w:rsidP="00EB38CE">
      <w:pPr>
        <w:widowControl w:val="0"/>
        <w:tabs>
          <w:tab w:val="left" w:pos="0"/>
          <w:tab w:val="left" w:pos="426"/>
        </w:tabs>
        <w:suppressAutoHyphens/>
        <w:spacing w:after="0" w:line="240" w:lineRule="auto"/>
        <w:ind w:right="176"/>
        <w:jc w:val="both"/>
        <w:outlineLvl w:val="1"/>
        <w:rPr>
          <w:rFonts w:ascii="Verdana" w:hAnsi="Verdana"/>
          <w:b/>
          <w:bCs/>
          <w:sz w:val="18"/>
          <w:szCs w:val="18"/>
          <w:u w:val="single"/>
        </w:rPr>
      </w:pPr>
      <w:r w:rsidRPr="00EB38CE">
        <w:rPr>
          <w:rFonts w:ascii="Verdana" w:eastAsia="Calibri" w:hAnsi="Verdana" w:cs="Verdana"/>
          <w:sz w:val="18"/>
          <w:szCs w:val="18"/>
        </w:rPr>
        <w:t>2.4. Содержание сделки: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hAnsi="Verdana" w:cs="Times New Roman"/>
          <w:b/>
          <w:sz w:val="18"/>
          <w:szCs w:val="18"/>
        </w:rPr>
        <w:t xml:space="preserve">В целях обеспечения исполнения своих обязательств перед Залогодержателем по Соглашению, Залогодатель передает в залог Залогодержателю нижеуказанное Заложенное имущество: 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Судно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 1: </w:t>
      </w:r>
      <w:r w:rsidRPr="00D43BF8">
        <w:rPr>
          <w:rFonts w:ascii="Verdana" w:hAnsi="Verdana" w:cs="Times New Roman"/>
          <w:b/>
          <w:sz w:val="18"/>
          <w:szCs w:val="18"/>
        </w:rPr>
        <w:t>МЕХАНИК САЗОНОВ. ИМО номер: 9626699, тип судна: Нефтеналивное/</w:t>
      </w:r>
      <w:proofErr w:type="spellStart"/>
      <w:r w:rsidRPr="00D43BF8">
        <w:rPr>
          <w:rFonts w:ascii="Verdana" w:hAnsi="Verdana" w:cs="Times New Roman"/>
          <w:b/>
          <w:sz w:val="18"/>
          <w:szCs w:val="18"/>
        </w:rPr>
        <w:t>химовоз</w:t>
      </w:r>
      <w:proofErr w:type="spellEnd"/>
      <w:r w:rsidRPr="00D43BF8">
        <w:rPr>
          <w:rFonts w:ascii="Verdana" w:hAnsi="Verdana" w:cs="Times New Roman"/>
          <w:b/>
          <w:sz w:val="18"/>
          <w:szCs w:val="18"/>
        </w:rPr>
        <w:t xml:space="preserve">. 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2: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>МЕХАНИК ХАРИТОНОВ. ИМО номер: 9630975, тип судна: Нефтеналивное.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3: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ВФ ТАНКЕР-1. </w:t>
      </w:r>
      <w:r w:rsidRPr="00D43BF8">
        <w:rPr>
          <w:rFonts w:ascii="Verdana" w:hAnsi="Verdana" w:cs="Times New Roman"/>
          <w:b/>
          <w:sz w:val="18"/>
          <w:szCs w:val="18"/>
        </w:rPr>
        <w:t xml:space="preserve">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ИМО номер: 9640499, Тип судна: Нефтеналивное. 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4: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ВФ ТАНКЕР-3. ИМО номер: 9640516, Тип судна: Нефтеналивное. 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5: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>ВФ ТАНКЕР-5. ИМО номер: 9640530, Тип судна: Нефтеналивное.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6: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ВФ ТАНКЕР-7. ИМО номер: 9640554, Тип судна: Нефтеналивное. 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7: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>ВФ ТАНКЕР-9. ИМО номер: 9640578, Тип судна: Нефтеналивное/</w:t>
      </w:r>
      <w:proofErr w:type="spellStart"/>
      <w:r w:rsidRPr="00D43BF8">
        <w:rPr>
          <w:rFonts w:ascii="Verdana" w:hAnsi="Verdana" w:cs="Times New Roman"/>
          <w:b/>
          <w:sz w:val="18"/>
          <w:szCs w:val="18"/>
          <w:lang w:eastAsia="ru-RU"/>
        </w:rPr>
        <w:t>химовоз</w:t>
      </w:r>
      <w:proofErr w:type="spellEnd"/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. 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8: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>ВФ ТАНКЕР-2. ИМО номер: 9640504, Тип судна: Нефтеналивное.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Судно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 9: ВФ ТАНКЕР-4. ИМО номер: 9640528, Тип судна: Нефтеналивное.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Судно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 10: ВФ ТАНКЕР-6. ИМО номер: 9640542, Тип судна: Нефтеналивное.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11: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>ВФ ТАНКЕР-8. ИМО номер: 9640566, Тип судна: Нефтеналивное.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Судно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 xml:space="preserve"> 12: КОНСТРУКТОР ЖИВОТОВСКИЙ. ИМО номер: 9640580, Тип судна: Нефтеналивное/</w:t>
      </w:r>
      <w:proofErr w:type="spellStart"/>
      <w:r w:rsidRPr="00D43BF8">
        <w:rPr>
          <w:rFonts w:ascii="Verdana" w:hAnsi="Verdana" w:cs="Times New Roman"/>
          <w:b/>
          <w:sz w:val="18"/>
          <w:szCs w:val="18"/>
          <w:lang w:eastAsia="ru-RU"/>
        </w:rPr>
        <w:t>химовоз</w:t>
      </w:r>
      <w:proofErr w:type="spellEnd"/>
      <w:r w:rsidRPr="00D43BF8">
        <w:rPr>
          <w:rFonts w:ascii="Verdana" w:hAnsi="Verdana" w:cs="Times New Roman"/>
          <w:b/>
          <w:sz w:val="18"/>
          <w:szCs w:val="18"/>
        </w:rPr>
        <w:t>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Судно 13: </w:t>
      </w:r>
      <w:r w:rsidRPr="00D43BF8">
        <w:rPr>
          <w:rFonts w:ascii="Verdana" w:hAnsi="Verdana" w:cs="Times New Roman"/>
          <w:b/>
          <w:sz w:val="18"/>
          <w:szCs w:val="18"/>
          <w:lang w:eastAsia="ru-RU"/>
        </w:rPr>
        <w:t>ВОЛГА-ФЛОТ 10. ИМО номер: 9751901, Тип судна: самоходное комбинированное (сухогрузное/нефтеналивное) судно-площадка</w:t>
      </w:r>
      <w:r w:rsidRPr="00D43BF8">
        <w:rPr>
          <w:rFonts w:ascii="Verdana" w:hAnsi="Verdana" w:cs="Times New Roman"/>
          <w:b/>
          <w:sz w:val="18"/>
          <w:szCs w:val="18"/>
        </w:rPr>
        <w:t>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D43BF8">
        <w:rPr>
          <w:rFonts w:ascii="Verdana" w:hAnsi="Verdana" w:cs="Times New Roman"/>
          <w:b/>
          <w:sz w:val="18"/>
          <w:szCs w:val="18"/>
          <w:u w:val="single"/>
        </w:rPr>
        <w:t>Обеспечиваемое обязательство: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В соответствии с Соглашением Залогодержатель обязуется предоставить </w:t>
      </w:r>
      <w:r w:rsidRPr="00D43BF8">
        <w:rPr>
          <w:rFonts w:ascii="Verdana" w:hAnsi="Verdana" w:cs="Times New Roman"/>
          <w:b/>
          <w:sz w:val="18"/>
          <w:szCs w:val="18"/>
        </w:rPr>
        <w:t>Залогодателю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денежные средства («Кредиты») в рамках кредитной линии в размере и на условиях Соглашения, а </w:t>
      </w:r>
      <w:r w:rsidRPr="00D43BF8">
        <w:rPr>
          <w:rFonts w:ascii="Verdana" w:hAnsi="Verdana" w:cs="Times New Roman"/>
          <w:b/>
          <w:sz w:val="18"/>
          <w:szCs w:val="18"/>
        </w:rPr>
        <w:t>Залогодатель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обязуется возвратить полученные денежные средства и уплатить проценты за их использование и другие платежи Залогодержателю в размере, в срок и в порядке, согласно положениям Соглашения.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Залог Заложенного имущества обеспечивает исполнение </w:t>
      </w:r>
      <w:r w:rsidRPr="00D43BF8">
        <w:rPr>
          <w:rFonts w:ascii="Verdana" w:hAnsi="Verdana" w:cs="Times New Roman"/>
          <w:b/>
          <w:sz w:val="18"/>
          <w:szCs w:val="18"/>
        </w:rPr>
        <w:t>Залогодателем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всех его обязательств перед Залогодержателем по Соглашению, в частности: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1. Возврат Залогодержателю в порядке и в сроки, определенные в Соглашении, Кредитов в размере, указанном настоящем Договоре;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2. Уплату процентов за пользование Кредитами. 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3. Уплату Залогодержателю неустойки в соответствии с условиями Соглашения;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4. Уплату Залогодержателю комиссий в соответствии с условиями Соглашения;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5. Уплату иных сумм, причитающихся Залогодержателю по условиям Соглашения.</w:t>
      </w:r>
    </w:p>
    <w:p w:rsidR="00CB44C6" w:rsidRPr="00D43BF8" w:rsidRDefault="00CB44C6" w:rsidP="00D43BF8">
      <w:pPr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В соответствии с Соглашением Залогодержатель открывает </w:t>
      </w:r>
      <w:r w:rsidRPr="00D43BF8">
        <w:rPr>
          <w:rFonts w:ascii="Verdana" w:hAnsi="Verdana" w:cs="Times New Roman"/>
          <w:b/>
          <w:sz w:val="18"/>
          <w:szCs w:val="18"/>
        </w:rPr>
        <w:t>Залогодателю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кредитную линию с лимитом выдачи в размере 70 000 000 евро </w:t>
      </w:r>
      <w:r w:rsidRPr="00D43BF8">
        <w:rPr>
          <w:rFonts w:ascii="Verdana" w:hAnsi="Verdana" w:cs="Times New Roman"/>
          <w:b/>
          <w:sz w:val="18"/>
          <w:szCs w:val="18"/>
        </w:rPr>
        <w:t xml:space="preserve">включительно или эквивалента указанной суммы в долларах США 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>(«Кредитная Линия»).</w:t>
      </w:r>
      <w:r w:rsidRPr="00D43BF8" w:rsidDel="004E3EBF">
        <w:rPr>
          <w:rFonts w:ascii="Verdana" w:eastAsia="Times New Roman" w:hAnsi="Verdana" w:cs="Times New Roman"/>
          <w:b/>
          <w:sz w:val="18"/>
          <w:szCs w:val="18"/>
        </w:rPr>
        <w:t xml:space="preserve"> 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При этом, Кредитная Линия означает общую максимальную сумму кредитов, предоставляемых </w:t>
      </w:r>
      <w:r w:rsidRPr="00D43BF8">
        <w:rPr>
          <w:rFonts w:ascii="Verdana" w:hAnsi="Verdana" w:cs="Times New Roman"/>
          <w:b/>
          <w:sz w:val="18"/>
          <w:szCs w:val="18"/>
        </w:rPr>
        <w:t>Залогодателю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Залогодержателем по Соглашению.</w:t>
      </w:r>
    </w:p>
    <w:p w:rsidR="00CB44C6" w:rsidRPr="00D43BF8" w:rsidRDefault="00CB44C6" w:rsidP="00D43BF8">
      <w:pPr>
        <w:widowControl w:val="0"/>
        <w:spacing w:after="0" w:line="240" w:lineRule="auto"/>
        <w:ind w:right="180" w:firstLine="567"/>
        <w:jc w:val="both"/>
        <w:rPr>
          <w:rFonts w:ascii="Verdana" w:eastAsia="Times New Roman" w:hAnsi="Verdana" w:cs="Times New Roman"/>
          <w:b/>
          <w:spacing w:val="-3"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>В соответствии с Соглашением п</w:t>
      </w:r>
      <w:r w:rsidRPr="00D43BF8">
        <w:rPr>
          <w:rFonts w:ascii="Verdana" w:eastAsia="Times New Roman" w:hAnsi="Verdana" w:cs="Times New Roman"/>
          <w:b/>
          <w:spacing w:val="-3"/>
          <w:sz w:val="18"/>
          <w:szCs w:val="18"/>
        </w:rPr>
        <w:t>роцентная ставка, применяемая в отношении каждого периода начисления процентов, составляет сумму:</w:t>
      </w:r>
    </w:p>
    <w:p w:rsidR="00CB44C6" w:rsidRPr="00D43BF8" w:rsidRDefault="00CB44C6" w:rsidP="00D43BF8">
      <w:pPr>
        <w:widowControl w:val="0"/>
        <w:tabs>
          <w:tab w:val="left" w:pos="426"/>
        </w:tabs>
        <w:spacing w:after="0" w:line="240" w:lineRule="auto"/>
        <w:ind w:left="426" w:right="180" w:hanging="426"/>
        <w:jc w:val="both"/>
        <w:rPr>
          <w:rFonts w:ascii="Verdana" w:eastAsia="Times New Roman" w:hAnsi="Verdana" w:cs="Times New Roman"/>
          <w:b/>
          <w:spacing w:val="-3"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 xml:space="preserve">1.1.     а) процентной ставки трехмесячного 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>ЛИБОР</w:t>
      </w:r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 xml:space="preserve"> в долларах США и  </w:t>
      </w:r>
    </w:p>
    <w:p w:rsidR="00CB44C6" w:rsidRPr="00D43BF8" w:rsidRDefault="00CB44C6" w:rsidP="00D43BF8">
      <w:pPr>
        <w:widowControl w:val="0"/>
        <w:tabs>
          <w:tab w:val="left" w:pos="709"/>
        </w:tabs>
        <w:spacing w:after="0" w:line="240" w:lineRule="auto"/>
        <w:ind w:left="709" w:right="180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б) 2,5 % (Двух целых и пяти десятых процента) годовых для долларов США  </w:t>
      </w:r>
    </w:p>
    <w:p w:rsidR="00CB44C6" w:rsidRPr="00D43BF8" w:rsidRDefault="00CB44C6" w:rsidP="00D43BF8">
      <w:pPr>
        <w:widowControl w:val="0"/>
        <w:tabs>
          <w:tab w:val="left" w:pos="426"/>
          <w:tab w:val="left" w:pos="709"/>
        </w:tabs>
        <w:spacing w:after="0" w:line="240" w:lineRule="auto"/>
        <w:ind w:left="709" w:right="180"/>
        <w:jc w:val="both"/>
        <w:rPr>
          <w:rFonts w:ascii="Verdana" w:eastAsia="Times New Roman" w:hAnsi="Verdana" w:cs="Times New Roman"/>
          <w:b/>
          <w:spacing w:val="-3"/>
          <w:sz w:val="18"/>
          <w:szCs w:val="18"/>
        </w:rPr>
      </w:pPr>
      <w:r w:rsidRPr="00D43BF8">
        <w:rPr>
          <w:rFonts w:ascii="Verdana" w:hAnsi="Verdana" w:cs="Times New Roman"/>
          <w:b/>
          <w:sz w:val="18"/>
          <w:szCs w:val="18"/>
        </w:rPr>
        <w:t xml:space="preserve">Для целей Соглашения величина трехмесячного ЛИБОР определяется как Лондонская </w:t>
      </w:r>
      <w:r w:rsidRPr="00D43BF8">
        <w:rPr>
          <w:rFonts w:ascii="Verdana" w:hAnsi="Verdana" w:cs="Times New Roman"/>
          <w:b/>
          <w:sz w:val="18"/>
          <w:szCs w:val="18"/>
        </w:rPr>
        <w:lastRenderedPageBreak/>
        <w:t>межбанковская ставка предложения депозитов в процентах годовых для депозитов в долларах США на срок в 3 (Три) месяца, котируемая на странице «</w:t>
      </w:r>
      <w:proofErr w:type="spellStart"/>
      <w:r w:rsidRPr="00D43BF8">
        <w:rPr>
          <w:rFonts w:ascii="Verdana" w:hAnsi="Verdana" w:cs="Times New Roman"/>
          <w:b/>
          <w:sz w:val="18"/>
          <w:szCs w:val="18"/>
        </w:rPr>
        <w:t>Libor</w:t>
      </w:r>
      <w:proofErr w:type="spellEnd"/>
      <w:r w:rsidRPr="00D43BF8">
        <w:rPr>
          <w:rFonts w:ascii="Verdana" w:hAnsi="Verdana" w:cs="Times New Roman"/>
          <w:b/>
          <w:sz w:val="18"/>
          <w:szCs w:val="18"/>
        </w:rPr>
        <w:t xml:space="preserve"> 01» по данным «Рейтер» на лондонском межбанковском рынке евровалют в/или около 11 часов утра по лондонскому времени в дату предоставления каждого кредита, а также в первую дату каждого периода начисления процентов. При этом, если такая ставка в указанные даты составит меньше нуля, величина </w:t>
      </w:r>
      <w:r w:rsidRPr="00D43BF8">
        <w:rPr>
          <w:rFonts w:ascii="Verdana" w:hAnsi="Verdana" w:cs="Times New Roman"/>
          <w:b/>
          <w:snapToGrid w:val="0"/>
          <w:sz w:val="18"/>
          <w:szCs w:val="18"/>
        </w:rPr>
        <w:t>трехмесячного</w:t>
      </w:r>
      <w:r w:rsidRPr="00D43BF8">
        <w:rPr>
          <w:rFonts w:ascii="Verdana" w:hAnsi="Verdana" w:cs="Times New Roman"/>
          <w:b/>
          <w:sz w:val="18"/>
          <w:szCs w:val="18"/>
        </w:rPr>
        <w:t xml:space="preserve"> ЛИБОР будет считаться равной нулю.</w:t>
      </w:r>
    </w:p>
    <w:p w:rsidR="00CB44C6" w:rsidRPr="00D43BF8" w:rsidRDefault="00CB44C6" w:rsidP="00D43BF8">
      <w:pPr>
        <w:widowControl w:val="0"/>
        <w:tabs>
          <w:tab w:val="left" w:pos="426"/>
        </w:tabs>
        <w:spacing w:after="0" w:line="240" w:lineRule="auto"/>
        <w:ind w:left="426" w:right="180" w:hanging="426"/>
        <w:jc w:val="both"/>
        <w:rPr>
          <w:rFonts w:ascii="Verdana" w:eastAsia="Times New Roman" w:hAnsi="Verdana" w:cs="Times New Roman"/>
          <w:b/>
          <w:snapToGrid w:val="0"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pacing w:val="-3"/>
          <w:sz w:val="18"/>
          <w:szCs w:val="18"/>
        </w:rPr>
        <w:t xml:space="preserve">1.2.     </w:t>
      </w:r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 xml:space="preserve">а) процентной ставки трехмесячного 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>ЛИБОР</w:t>
      </w:r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 xml:space="preserve"> в </w:t>
      </w:r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  <w:lang w:val="en-US"/>
        </w:rPr>
        <w:t>E</w:t>
      </w:r>
      <w:proofErr w:type="spellStart"/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>вро</w:t>
      </w:r>
      <w:proofErr w:type="spellEnd"/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 xml:space="preserve"> и </w:t>
      </w:r>
    </w:p>
    <w:p w:rsidR="00CB44C6" w:rsidRPr="00D43BF8" w:rsidRDefault="00CB44C6" w:rsidP="00D43BF8">
      <w:pPr>
        <w:widowControl w:val="0"/>
        <w:tabs>
          <w:tab w:val="left" w:pos="426"/>
        </w:tabs>
        <w:spacing w:after="0" w:line="240" w:lineRule="auto"/>
        <w:ind w:left="426" w:right="180" w:hanging="426"/>
        <w:jc w:val="both"/>
        <w:rPr>
          <w:rFonts w:ascii="Verdana" w:eastAsia="Times New Roman" w:hAnsi="Verdana" w:cs="Times New Roman"/>
          <w:b/>
          <w:snapToGrid w:val="0"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          б) 2,4 % (Двух целых и четырех десятых процента) годовых для Евро  </w:t>
      </w:r>
      <w:r w:rsidRPr="00D43BF8">
        <w:rPr>
          <w:rFonts w:ascii="Verdana" w:eastAsia="Times New Roman" w:hAnsi="Verdana" w:cs="Times New Roman"/>
          <w:b/>
          <w:snapToGrid w:val="0"/>
          <w:sz w:val="18"/>
          <w:szCs w:val="18"/>
        </w:rPr>
        <w:t xml:space="preserve"> </w:t>
      </w:r>
    </w:p>
    <w:p w:rsidR="00CB44C6" w:rsidRPr="00D43BF8" w:rsidRDefault="00CB44C6" w:rsidP="00D43BF8">
      <w:pPr>
        <w:widowControl w:val="0"/>
        <w:tabs>
          <w:tab w:val="left" w:pos="709"/>
        </w:tabs>
        <w:spacing w:after="0" w:line="240" w:lineRule="auto"/>
        <w:ind w:left="709" w:right="180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hAnsi="Verdana" w:cs="Times New Roman"/>
          <w:b/>
          <w:sz w:val="18"/>
          <w:szCs w:val="18"/>
        </w:rPr>
        <w:t>Для целей Соглашения величина трехмесячного ЛИБОР определяется как Лондонская межбанковская ставка предложения депозитов в процентах годовых для депозитов в Евро на срок в 3 (Три) месяца, котируемая на странице «</w:t>
      </w:r>
      <w:proofErr w:type="spellStart"/>
      <w:r w:rsidRPr="00D43BF8">
        <w:rPr>
          <w:rFonts w:ascii="Verdana" w:hAnsi="Verdana" w:cs="Times New Roman"/>
          <w:b/>
          <w:sz w:val="18"/>
          <w:szCs w:val="18"/>
        </w:rPr>
        <w:t>Libor</w:t>
      </w:r>
      <w:proofErr w:type="spellEnd"/>
      <w:r w:rsidRPr="00D43BF8">
        <w:rPr>
          <w:rFonts w:ascii="Verdana" w:hAnsi="Verdana" w:cs="Times New Roman"/>
          <w:b/>
          <w:sz w:val="18"/>
          <w:szCs w:val="18"/>
        </w:rPr>
        <w:t xml:space="preserve"> 01» по данным «Рейтер» на лондонском межбанковском рынке евровалют в/или около 11 часов утра по лондонскому времени в дату предоставления каждого кредита, а также в первую дату каждого периода начисления процентов. При этом, если такая ставка в указанные даты составит меньше нуля, величина </w:t>
      </w:r>
      <w:r w:rsidRPr="00D43BF8">
        <w:rPr>
          <w:rFonts w:ascii="Verdana" w:hAnsi="Verdana" w:cs="Times New Roman"/>
          <w:b/>
          <w:snapToGrid w:val="0"/>
          <w:sz w:val="18"/>
          <w:szCs w:val="18"/>
        </w:rPr>
        <w:t>трехмесячного</w:t>
      </w:r>
      <w:r w:rsidRPr="00D43BF8">
        <w:rPr>
          <w:rFonts w:ascii="Verdana" w:hAnsi="Verdana" w:cs="Times New Roman"/>
          <w:b/>
          <w:sz w:val="18"/>
          <w:szCs w:val="18"/>
        </w:rPr>
        <w:t xml:space="preserve"> ЛИБОР будет считаться равной нулю.</w:t>
      </w:r>
    </w:p>
    <w:p w:rsidR="00CB44C6" w:rsidRPr="00D43BF8" w:rsidRDefault="00CB44C6" w:rsidP="00D43BF8">
      <w:pPr>
        <w:widowControl w:val="0"/>
        <w:tabs>
          <w:tab w:val="left" w:pos="426"/>
        </w:tabs>
        <w:spacing w:after="0" w:line="240" w:lineRule="auto"/>
        <w:ind w:right="180" w:firstLine="709"/>
        <w:jc w:val="both"/>
        <w:rPr>
          <w:rFonts w:ascii="Verdana" w:hAnsi="Verdana" w:cs="Times New Roman"/>
          <w:b/>
          <w:sz w:val="18"/>
          <w:szCs w:val="18"/>
        </w:rPr>
      </w:pPr>
      <w:r w:rsidRPr="00D43BF8">
        <w:rPr>
          <w:rFonts w:ascii="Verdana" w:hAnsi="Verdana" w:cs="Times New Roman"/>
          <w:b/>
          <w:sz w:val="18"/>
          <w:szCs w:val="18"/>
        </w:rPr>
        <w:t xml:space="preserve">Вариант расчета процентной ставки определяется Залогодателем самостоятельно в дату предоставления заявления на выдачу кредита и указывается в таком заявлении. </w:t>
      </w:r>
    </w:p>
    <w:p w:rsidR="00CB44C6" w:rsidRPr="00D43BF8" w:rsidRDefault="00CB44C6" w:rsidP="00CB44C6">
      <w:pPr>
        <w:spacing w:after="0" w:line="240" w:lineRule="auto"/>
        <w:ind w:right="180" w:firstLine="709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Стороны Соглашения установили, что обязательства </w:t>
      </w:r>
      <w:r w:rsidRPr="00D43BF8">
        <w:rPr>
          <w:rFonts w:ascii="Verdana" w:hAnsi="Verdana" w:cs="Times New Roman"/>
          <w:b/>
          <w:sz w:val="18"/>
          <w:szCs w:val="18"/>
        </w:rPr>
        <w:t>Залогодателя</w:t>
      </w:r>
      <w:r w:rsidRPr="00D43BF8">
        <w:rPr>
          <w:rFonts w:ascii="Verdana" w:eastAsia="Times New Roman" w:hAnsi="Verdana" w:cs="Times New Roman"/>
          <w:b/>
          <w:sz w:val="18"/>
          <w:szCs w:val="18"/>
        </w:rPr>
        <w:t xml:space="preserve"> по возврату кредитов, предоставленных в рамках Кредитной Линии, должны быть полностью исполнены до «17» сентября 2024 года включительно («Дата Погашения»).</w:t>
      </w:r>
    </w:p>
    <w:p w:rsidR="00CB44C6" w:rsidRPr="00D43BF8" w:rsidRDefault="00CB44C6" w:rsidP="00CB44C6">
      <w:pPr>
        <w:spacing w:after="0" w:line="240" w:lineRule="auto"/>
        <w:ind w:right="180" w:firstLine="709"/>
        <w:jc w:val="both"/>
        <w:rPr>
          <w:rFonts w:ascii="Verdana" w:eastAsia="Times New Roman" w:hAnsi="Verdana" w:cs="Times New Roman"/>
          <w:b/>
          <w:sz w:val="18"/>
          <w:szCs w:val="18"/>
        </w:rPr>
      </w:pPr>
      <w:r w:rsidRPr="00D43BF8">
        <w:rPr>
          <w:rFonts w:ascii="Verdana" w:hAnsi="Verdana" w:cs="Times New Roman"/>
          <w:b/>
          <w:i/>
          <w:sz w:val="18"/>
          <w:szCs w:val="18"/>
          <w:u w:val="single"/>
        </w:rPr>
        <w:t>цена Договора</w:t>
      </w:r>
      <w:r w:rsidRPr="00D43BF8">
        <w:rPr>
          <w:rFonts w:ascii="Verdana" w:hAnsi="Verdana" w:cs="Times New Roman"/>
          <w:b/>
          <w:sz w:val="18"/>
          <w:szCs w:val="18"/>
        </w:rPr>
        <w:t xml:space="preserve"> – Заложенное имущество в целом по соглашению сторон оценивается в 4 672 823 000 (Четыре миллиарда шестьсот семьдесят два миллиона восемьсот двадцать три тысячи) рублей:</w:t>
      </w:r>
    </w:p>
    <w:tbl>
      <w:tblPr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CB44C6" w:rsidRPr="00D43BF8" w:rsidTr="00886994">
        <w:tc>
          <w:tcPr>
            <w:tcW w:w="10467" w:type="dxa"/>
          </w:tcPr>
          <w:p w:rsidR="00CB44C6" w:rsidRPr="00D43BF8" w:rsidRDefault="00CB44C6" w:rsidP="00D43BF8">
            <w:pPr>
              <w:tabs>
                <w:tab w:val="left" w:pos="813"/>
                <w:tab w:val="left" w:pos="954"/>
              </w:tabs>
              <w:spacing w:after="0" w:line="240" w:lineRule="auto"/>
              <w:ind w:right="180"/>
              <w:jc w:val="both"/>
              <w:rPr>
                <w:rFonts w:ascii="Verdana" w:eastAsia="Times New Roman" w:hAnsi="Verdana" w:cs="Times New Roman"/>
                <w:b/>
                <w:color w:val="000000"/>
                <w:spacing w:val="-1"/>
                <w:sz w:val="18"/>
                <w:szCs w:val="18"/>
                <w:highlight w:val="yellow"/>
                <w:lang w:eastAsia="ru-RU"/>
              </w:rPr>
            </w:pPr>
            <w:r w:rsidRPr="004D1AC5">
              <w:rPr>
                <w:rFonts w:ascii="Verdana" w:hAnsi="Verdana" w:cs="Times New Roman"/>
                <w:b/>
                <w:i/>
                <w:sz w:val="18"/>
                <w:szCs w:val="18"/>
                <w:u w:val="single"/>
              </w:rPr>
              <w:t>срок Договора</w:t>
            </w:r>
            <w:r w:rsidRPr="004D1AC5">
              <w:rPr>
                <w:rFonts w:ascii="Verdana" w:hAnsi="Verdana" w:cs="Times New Roman"/>
                <w:b/>
                <w:sz w:val="18"/>
                <w:szCs w:val="18"/>
              </w:rPr>
              <w:t xml:space="preserve"> – Д</w:t>
            </w:r>
            <w:r w:rsidRPr="004D1AC5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ru-RU"/>
              </w:rPr>
              <w:t xml:space="preserve">оговор </w:t>
            </w:r>
            <w:r w:rsidRPr="004D1AC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прекращается в момент исполнения обязательств </w:t>
            </w:r>
            <w:r w:rsidRPr="004D1AC5">
              <w:rPr>
                <w:rFonts w:ascii="Verdana" w:hAnsi="Verdana" w:cs="Times New Roman"/>
                <w:b/>
                <w:sz w:val="18"/>
                <w:szCs w:val="18"/>
              </w:rPr>
              <w:t>Залогодателя</w:t>
            </w:r>
            <w:r w:rsidRPr="004D1AC5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 по Соглашению в полном объеме, а также в иных случаях, предусмотренных законодательством РФ»</w:t>
            </w:r>
            <w:r w:rsidRPr="004D1AC5">
              <w:rPr>
                <w:rFonts w:ascii="Verdana" w:eastAsia="Times New Roman" w:hAnsi="Verdana" w:cs="Times New Roman"/>
                <w:b/>
                <w:sz w:val="18"/>
                <w:szCs w:val="18"/>
                <w:lang w:eastAsia="ru-RU"/>
              </w:rPr>
              <w:t>.</w:t>
            </w:r>
            <w:r w:rsidRPr="004D1AC5">
              <w:rPr>
                <w:rFonts w:ascii="Verdana" w:eastAsia="Times New Roman" w:hAnsi="Verdana" w:cs="Times New Roman"/>
                <w:b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302AC9" w:rsidRPr="004D1AC5" w:rsidRDefault="00302AC9" w:rsidP="004D1AC5">
      <w:pPr>
        <w:spacing w:after="0" w:line="240" w:lineRule="auto"/>
        <w:jc w:val="both"/>
        <w:rPr>
          <w:rFonts w:ascii="Verdana" w:eastAsia="Times New Roman" w:hAnsi="Verdana" w:cs="TimesNewRoman,BoldItalic"/>
          <w:b/>
          <w:bCs/>
          <w:iCs/>
          <w:sz w:val="18"/>
          <w:szCs w:val="18"/>
          <w:lang w:eastAsia="ru-RU"/>
        </w:rPr>
      </w:pPr>
      <w:r w:rsidRPr="00D43BF8">
        <w:rPr>
          <w:rFonts w:ascii="Verdana" w:eastAsia="Times New Roman" w:hAnsi="Verdana" w:cs="Verdana"/>
          <w:sz w:val="18"/>
          <w:szCs w:val="18"/>
          <w:lang w:eastAsia="ru-RU"/>
        </w:rPr>
        <w:t xml:space="preserve">2.5. </w:t>
      </w:r>
      <w:r w:rsidRPr="00D43BF8">
        <w:rPr>
          <w:rFonts w:ascii="Verdana" w:eastAsia="Times New Roman" w:hAnsi="Verdana" w:cs="Verdana"/>
          <w:sz w:val="18"/>
          <w:szCs w:val="18"/>
          <w:lang w:val="en-US" w:eastAsia="ru-RU"/>
        </w:rPr>
        <w:t>C</w:t>
      </w:r>
      <w:r w:rsidRPr="00D43BF8">
        <w:rPr>
          <w:rFonts w:ascii="Verdana" w:eastAsia="Times New Roman" w:hAnsi="Verdana" w:cs="Verdana"/>
          <w:sz w:val="18"/>
          <w:szCs w:val="18"/>
          <w:lang w:eastAsia="ru-RU"/>
        </w:rPr>
        <w:t xml:space="preserve">рок исполнения обязательств по сделке: </w:t>
      </w:r>
      <w:r w:rsidR="009B75D9" w:rsidRPr="004D1AC5">
        <w:rPr>
          <w:rFonts w:ascii="Verdana" w:eastAsia="Times New Roman" w:hAnsi="Verdana" w:cs="Times New Roman"/>
          <w:b/>
          <w:sz w:val="18"/>
          <w:szCs w:val="18"/>
        </w:rPr>
        <w:t xml:space="preserve">в момент исполнения обязательств </w:t>
      </w:r>
      <w:r w:rsidR="009B75D9" w:rsidRPr="004D1AC5">
        <w:rPr>
          <w:rFonts w:ascii="Verdana" w:hAnsi="Verdana" w:cs="Times New Roman"/>
          <w:b/>
          <w:sz w:val="18"/>
          <w:szCs w:val="18"/>
        </w:rPr>
        <w:t>Залогодателя</w:t>
      </w:r>
      <w:r w:rsidR="009B75D9" w:rsidRPr="004D1AC5">
        <w:rPr>
          <w:rFonts w:ascii="Verdana" w:eastAsia="Times New Roman" w:hAnsi="Verdana" w:cs="Times New Roman"/>
          <w:b/>
          <w:sz w:val="18"/>
          <w:szCs w:val="18"/>
        </w:rPr>
        <w:t xml:space="preserve"> по Соглашению в полном объеме, а также в иных случаях, предусмотренных законодательством РФ</w:t>
      </w:r>
      <w:r w:rsidRPr="004D1AC5">
        <w:rPr>
          <w:rFonts w:ascii="Verdana" w:eastAsia="Times New Roman" w:hAnsi="Verdana" w:cs="Courier New"/>
          <w:b/>
          <w:sz w:val="18"/>
          <w:szCs w:val="18"/>
          <w:lang w:eastAsia="ru-RU"/>
        </w:rPr>
        <w:t>.</w:t>
      </w:r>
    </w:p>
    <w:p w:rsidR="00302AC9" w:rsidRPr="004D1AC5" w:rsidRDefault="00302AC9" w:rsidP="003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</w:pPr>
      <w:r w:rsidRPr="004D1AC5">
        <w:rPr>
          <w:rFonts w:ascii="Verdana" w:eastAsia="Calibri" w:hAnsi="Verdana" w:cs="Verdana"/>
          <w:sz w:val="18"/>
          <w:szCs w:val="18"/>
        </w:rPr>
        <w:t>Стороны сделки:</w:t>
      </w:r>
      <w:r w:rsidRPr="004D1AC5">
        <w:rPr>
          <w:rFonts w:ascii="Verdana" w:eastAsia="Times New Roman" w:hAnsi="Verdana" w:cs="Times New Roman"/>
          <w:bCs/>
          <w:sz w:val="18"/>
          <w:szCs w:val="18"/>
          <w:lang w:eastAsia="ru-RU"/>
        </w:rPr>
        <w:t xml:space="preserve"> </w:t>
      </w:r>
      <w:r w:rsidRPr="004D1AC5">
        <w:rPr>
          <w:rFonts w:ascii="Verdana" w:hAnsi="Verdana" w:cs="Times New Roman"/>
          <w:b/>
          <w:bCs/>
          <w:sz w:val="18"/>
          <w:szCs w:val="18"/>
        </w:rPr>
        <w:t xml:space="preserve">Акционерное общество «Судоходная компания «Волжское пароходство» </w:t>
      </w:r>
      <w:r w:rsidRPr="004D1AC5">
        <w:rPr>
          <w:rFonts w:ascii="Verdana" w:hAnsi="Verdana" w:cs="Times New Roman"/>
          <w:b/>
          <w:sz w:val="18"/>
          <w:szCs w:val="18"/>
        </w:rPr>
        <w:t xml:space="preserve">(АО «Волга-флот», Общество или Залогодатель) и </w:t>
      </w:r>
      <w:r w:rsidR="00CB44C6" w:rsidRPr="004D1AC5">
        <w:rPr>
          <w:rFonts w:ascii="Verdana" w:hAnsi="Verdana" w:cs="Times New Roman"/>
          <w:b/>
          <w:bCs/>
          <w:sz w:val="18"/>
          <w:szCs w:val="18"/>
        </w:rPr>
        <w:t>Акционерное общество «Райффайзенбанк»</w:t>
      </w:r>
      <w:r w:rsidR="00CB44C6" w:rsidRPr="004D1AC5">
        <w:rPr>
          <w:rFonts w:ascii="Verdana" w:hAnsi="Verdana" w:cs="Times New Roman"/>
          <w:b/>
          <w:sz w:val="18"/>
          <w:szCs w:val="18"/>
        </w:rPr>
        <w:t xml:space="preserve"> (АО «Райффайзенбанк» или Залогодержатель)</w:t>
      </w:r>
      <w:r w:rsidRPr="004D1AC5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.</w:t>
      </w:r>
    </w:p>
    <w:p w:rsidR="00302AC9" w:rsidRPr="004D1AC5" w:rsidRDefault="00302AC9" w:rsidP="004D1AC5">
      <w:pPr>
        <w:spacing w:after="0" w:line="240" w:lineRule="auto"/>
        <w:contextualSpacing/>
        <w:jc w:val="both"/>
        <w:rPr>
          <w:rFonts w:ascii="Verdana" w:eastAsia="Calibri" w:hAnsi="Verdana" w:cs="Verdana"/>
          <w:b/>
          <w:sz w:val="18"/>
          <w:szCs w:val="18"/>
        </w:rPr>
      </w:pPr>
      <w:r w:rsidRPr="004D1AC5">
        <w:rPr>
          <w:rFonts w:ascii="Verdana" w:eastAsia="Calibri" w:hAnsi="Verdana" w:cs="Verdana"/>
          <w:sz w:val="18"/>
          <w:szCs w:val="18"/>
        </w:rPr>
        <w:t>2.6. Размер сделки в денежном выражении и в процентах от стоимости активов эмитента</w:t>
      </w:r>
      <w:r w:rsidRPr="004D1AC5">
        <w:rPr>
          <w:rFonts w:ascii="Verdana" w:eastAsia="Calibri" w:hAnsi="Verdana" w:cs="Verdana"/>
          <w:b/>
          <w:sz w:val="18"/>
          <w:szCs w:val="18"/>
        </w:rPr>
        <w:t>:</w:t>
      </w:r>
      <w:r w:rsidRPr="004D1AC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  <w:r w:rsidR="00EB38CE" w:rsidRPr="004D1AC5">
        <w:rPr>
          <w:rFonts w:ascii="Verdana" w:hAnsi="Verdana" w:cs="Times New Roman"/>
          <w:b/>
          <w:sz w:val="18"/>
          <w:szCs w:val="18"/>
        </w:rPr>
        <w:t xml:space="preserve">4 672 823 000 рублей </w:t>
      </w:r>
      <w:r w:rsidR="00EB38CE" w:rsidRPr="004D1AC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составляет 11,8% от балансовой стоимости активов Общества. </w:t>
      </w:r>
      <w:r w:rsidR="009B75D9" w:rsidRPr="004D1AC5">
        <w:rPr>
          <w:rFonts w:ascii="Verdana" w:eastAsia="Times New Roman" w:hAnsi="Verdana" w:cs="Times New Roman"/>
          <w:b/>
          <w:sz w:val="18"/>
          <w:szCs w:val="18"/>
          <w:lang w:eastAsia="ru-RU"/>
        </w:rPr>
        <w:t xml:space="preserve"> </w:t>
      </w:r>
    </w:p>
    <w:p w:rsidR="00302AC9" w:rsidRPr="004D1AC5" w:rsidRDefault="00302AC9" w:rsidP="00302A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Verdana" w:eastAsia="Calibri" w:hAnsi="Verdana" w:cs="Verdana"/>
          <w:b/>
          <w:sz w:val="18"/>
          <w:szCs w:val="18"/>
        </w:rPr>
      </w:pPr>
      <w:r w:rsidRPr="004D1AC5">
        <w:rPr>
          <w:rFonts w:ascii="Verdana" w:eastAsia="Calibri" w:hAnsi="Verdana" w:cs="Verdana"/>
          <w:sz w:val="18"/>
          <w:szCs w:val="18"/>
        </w:rPr>
        <w:t xml:space="preserve">Стоимость активов эмитента на </w:t>
      </w:r>
      <w:r w:rsidRPr="004D1AC5">
        <w:rPr>
          <w:rFonts w:ascii="Verdana" w:eastAsia="Times New Roman" w:hAnsi="Verdana" w:cs="Times New Roman"/>
          <w:sz w:val="18"/>
          <w:szCs w:val="18"/>
          <w:lang w:val="x-none" w:eastAsia="ru-RU"/>
        </w:rPr>
        <w:t>3</w:t>
      </w:r>
      <w:r w:rsidRPr="004D1AC5">
        <w:rPr>
          <w:rFonts w:ascii="Verdana" w:eastAsia="Times New Roman" w:hAnsi="Verdana" w:cs="Times New Roman"/>
          <w:sz w:val="18"/>
          <w:szCs w:val="18"/>
          <w:lang w:eastAsia="ru-RU"/>
        </w:rPr>
        <w:t>0</w:t>
      </w:r>
      <w:r w:rsidRPr="004D1AC5">
        <w:rPr>
          <w:rFonts w:ascii="Verdana" w:eastAsia="Times New Roman" w:hAnsi="Verdana" w:cs="Times New Roman"/>
          <w:sz w:val="18"/>
          <w:szCs w:val="18"/>
          <w:lang w:val="x-none" w:eastAsia="ru-RU"/>
        </w:rPr>
        <w:t>.0</w:t>
      </w:r>
      <w:r w:rsidRPr="004D1AC5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Pr="004D1AC5">
        <w:rPr>
          <w:rFonts w:ascii="Verdana" w:eastAsia="Times New Roman" w:hAnsi="Verdana" w:cs="Times New Roman"/>
          <w:sz w:val="18"/>
          <w:szCs w:val="18"/>
          <w:lang w:val="x-none" w:eastAsia="ru-RU"/>
        </w:rPr>
        <w:t>.201</w:t>
      </w:r>
      <w:r w:rsidRPr="004D1AC5">
        <w:rPr>
          <w:rFonts w:ascii="Verdana" w:eastAsia="Times New Roman" w:hAnsi="Verdana" w:cs="Times New Roman"/>
          <w:sz w:val="18"/>
          <w:szCs w:val="18"/>
          <w:lang w:eastAsia="ru-RU"/>
        </w:rPr>
        <w:t>9</w:t>
      </w:r>
      <w:r w:rsidRPr="004D1AC5">
        <w:rPr>
          <w:rFonts w:ascii="Verdana" w:eastAsia="Times New Roman" w:hAnsi="Verdana" w:cs="Times New Roman"/>
          <w:sz w:val="18"/>
          <w:szCs w:val="18"/>
          <w:lang w:val="x-none" w:eastAsia="ru-RU"/>
        </w:rPr>
        <w:t>г</w:t>
      </w:r>
      <w:r w:rsidRPr="004D1AC5">
        <w:rPr>
          <w:rFonts w:ascii="Verdana" w:eastAsia="Calibri" w:hAnsi="Verdana" w:cs="Verdana"/>
          <w:sz w:val="18"/>
          <w:szCs w:val="18"/>
        </w:rPr>
        <w:t xml:space="preserve">: </w:t>
      </w:r>
      <w:r w:rsidRPr="004D1AC5">
        <w:rPr>
          <w:rFonts w:ascii="Verdana" w:hAnsi="Verdana"/>
          <w:b/>
          <w:sz w:val="18"/>
          <w:szCs w:val="18"/>
        </w:rPr>
        <w:t xml:space="preserve">39 564 037 000 </w:t>
      </w:r>
      <w:r w:rsidRPr="004D1AC5">
        <w:rPr>
          <w:rFonts w:ascii="Verdana" w:eastAsia="Calibri" w:hAnsi="Verdana" w:cs="Verdana"/>
          <w:b/>
          <w:sz w:val="18"/>
          <w:szCs w:val="18"/>
        </w:rPr>
        <w:t xml:space="preserve">рублей.  </w:t>
      </w:r>
    </w:p>
    <w:p w:rsidR="00302AC9" w:rsidRPr="00BA2327" w:rsidRDefault="00302AC9" w:rsidP="00EB38CE">
      <w:pPr>
        <w:autoSpaceDE w:val="0"/>
        <w:autoSpaceDN w:val="0"/>
        <w:adjustRightInd w:val="0"/>
        <w:spacing w:after="0" w:line="240" w:lineRule="auto"/>
        <w:jc w:val="both"/>
        <w:rPr>
          <w:rFonts w:ascii="Verdana" w:eastAsia="Calibri" w:hAnsi="Verdana" w:cs="Verdana"/>
          <w:b/>
          <w:sz w:val="18"/>
          <w:szCs w:val="18"/>
        </w:rPr>
      </w:pPr>
      <w:r w:rsidRPr="004D1AC5">
        <w:rPr>
          <w:rFonts w:ascii="Verdana" w:eastAsia="Calibri" w:hAnsi="Verdana" w:cs="Verdana"/>
          <w:sz w:val="18"/>
          <w:szCs w:val="18"/>
        </w:rPr>
        <w:t xml:space="preserve">2.7. Дата совершения сделки (заключения договора): </w:t>
      </w:r>
      <w:r w:rsidRPr="00BA2327">
        <w:rPr>
          <w:rFonts w:ascii="Verdana" w:eastAsia="Calibri" w:hAnsi="Verdana" w:cs="Verdana"/>
          <w:b/>
          <w:sz w:val="18"/>
          <w:szCs w:val="18"/>
        </w:rPr>
        <w:t>17.12.2019.</w:t>
      </w:r>
    </w:p>
    <w:p w:rsidR="00302AC9" w:rsidRPr="00BA2327" w:rsidRDefault="00302AC9" w:rsidP="00EB38C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sz w:val="18"/>
          <w:szCs w:val="18"/>
        </w:rPr>
      </w:pPr>
      <w:r w:rsidRPr="00BA2327">
        <w:rPr>
          <w:rFonts w:ascii="Verdana" w:eastAsia="Calibri" w:hAnsi="Verdana" w:cs="Verdana"/>
          <w:sz w:val="18"/>
          <w:szCs w:val="18"/>
        </w:rPr>
        <w:t xml:space="preserve">2.8. </w:t>
      </w:r>
      <w:r w:rsidRPr="00BA2327">
        <w:rPr>
          <w:rFonts w:ascii="Verdana" w:eastAsia="Calibri" w:hAnsi="Verdana" w:cs="Times New Roman"/>
          <w:sz w:val="18"/>
          <w:szCs w:val="18"/>
        </w:rPr>
        <w:t>Сведения о принятии решения о согласии на совершение сделки эмитентом:</w:t>
      </w:r>
      <w:r w:rsidRPr="00BA2327">
        <w:rPr>
          <w:rFonts w:ascii="Verdana" w:hAnsi="Verdana"/>
          <w:sz w:val="18"/>
          <w:szCs w:val="18"/>
        </w:rPr>
        <w:t xml:space="preserve"> </w:t>
      </w:r>
      <w:r w:rsidRPr="00BA2327">
        <w:rPr>
          <w:rFonts w:ascii="Verdana" w:hAnsi="Verdana"/>
          <w:b/>
          <w:sz w:val="18"/>
          <w:szCs w:val="18"/>
        </w:rPr>
        <w:t>наименование органа управления организации, принявшего решение о согласии на совершение сделки – Совет директоров, дата принятия решения – 16.12.2019, дата составления и номер протокола – протокол заседания Совета директоров № 325 от 16.12.2019</w:t>
      </w:r>
      <w:r w:rsidRPr="00BA2327">
        <w:rPr>
          <w:rFonts w:ascii="Verdana" w:hAnsi="Verdana" w:cs="Verdana"/>
          <w:b/>
          <w:sz w:val="18"/>
          <w:szCs w:val="18"/>
        </w:rPr>
        <w:t>.</w:t>
      </w:r>
    </w:p>
    <w:p w:rsidR="00302AC9" w:rsidRPr="00BA2327" w:rsidRDefault="00302AC9" w:rsidP="00302AC9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mallCaps/>
          <w:sz w:val="18"/>
          <w:szCs w:val="18"/>
          <w:lang w:eastAsia="ru-RU"/>
        </w:rPr>
      </w:pPr>
    </w:p>
    <w:p w:rsidR="00302AC9" w:rsidRPr="00BA2327" w:rsidRDefault="00302AC9" w:rsidP="00302AC9">
      <w:pPr>
        <w:spacing w:after="120" w:line="240" w:lineRule="auto"/>
        <w:ind w:firstLine="540"/>
        <w:jc w:val="center"/>
        <w:rPr>
          <w:rFonts w:ascii="Verdana" w:eastAsia="Times New Roman" w:hAnsi="Verdana" w:cs="Verdana"/>
          <w:sz w:val="18"/>
          <w:szCs w:val="18"/>
          <w:lang w:eastAsia="ru-RU"/>
        </w:rPr>
      </w:pPr>
      <w:r w:rsidRPr="00BA2327">
        <w:rPr>
          <w:rFonts w:ascii="Verdana" w:eastAsia="Times New Roman" w:hAnsi="Verdana" w:cs="Verdana"/>
          <w:smallCaps/>
          <w:sz w:val="18"/>
          <w:szCs w:val="18"/>
          <w:lang w:eastAsia="ru-RU"/>
        </w:rPr>
        <w:t>3. Подпись</w:t>
      </w:r>
    </w:p>
    <w:p w:rsidR="00302AC9" w:rsidRPr="00BA2327" w:rsidRDefault="00302AC9" w:rsidP="00302AC9">
      <w:pPr>
        <w:spacing w:after="120" w:line="240" w:lineRule="auto"/>
        <w:ind w:firstLine="540"/>
        <w:jc w:val="both"/>
        <w:rPr>
          <w:rFonts w:ascii="Verdana" w:eastAsia="Times New Roman" w:hAnsi="Verdana" w:cs="Verdana"/>
          <w:b/>
          <w:sz w:val="18"/>
          <w:szCs w:val="18"/>
          <w:lang w:eastAsia="ru-RU"/>
        </w:rPr>
      </w:pPr>
      <w:r w:rsidRPr="00BA2327">
        <w:rPr>
          <w:rFonts w:ascii="Verdana" w:eastAsia="Times New Roman" w:hAnsi="Verdana" w:cs="Verdana"/>
          <w:b/>
          <w:sz w:val="18"/>
          <w:szCs w:val="18"/>
          <w:lang w:eastAsia="ru-RU"/>
        </w:rPr>
        <w:t>3.1. Управляющий директор АО «Волга-флот»</w:t>
      </w: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 xml:space="preserve"> </w:t>
      </w: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ab/>
        <w:t xml:space="preserve">          </w:t>
      </w: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ab/>
      </w:r>
      <w:r w:rsidRPr="00BA2327">
        <w:rPr>
          <w:rFonts w:ascii="Verdana" w:eastAsia="Times New Roman" w:hAnsi="Verdana" w:cs="Verdana"/>
          <w:b/>
          <w:sz w:val="18"/>
          <w:szCs w:val="18"/>
          <w:lang w:eastAsia="ru-RU"/>
        </w:rPr>
        <w:t xml:space="preserve">            Ю.Б. Гильц</w:t>
      </w:r>
    </w:p>
    <w:p w:rsidR="00302AC9" w:rsidRPr="00BA2327" w:rsidRDefault="00302AC9" w:rsidP="00302AC9">
      <w:pPr>
        <w:spacing w:after="120" w:line="240" w:lineRule="auto"/>
        <w:ind w:firstLine="540"/>
        <w:jc w:val="both"/>
        <w:rPr>
          <w:rFonts w:ascii="Verdana" w:eastAsia="Times New Roman" w:hAnsi="Verdana" w:cs="Verdana"/>
          <w:sz w:val="18"/>
          <w:szCs w:val="18"/>
          <w:lang w:eastAsia="ru-RU"/>
        </w:rPr>
      </w:pPr>
    </w:p>
    <w:p w:rsidR="00302AC9" w:rsidRPr="00D43BF8" w:rsidRDefault="00302AC9" w:rsidP="00302AC9">
      <w:pPr>
        <w:spacing w:after="120" w:line="240" w:lineRule="auto"/>
        <w:ind w:firstLine="540"/>
        <w:jc w:val="both"/>
        <w:rPr>
          <w:rFonts w:ascii="Verdana" w:hAnsi="Verdana"/>
          <w:sz w:val="18"/>
          <w:szCs w:val="18"/>
        </w:rPr>
      </w:pPr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 xml:space="preserve">3.2. Дата: </w:t>
      </w:r>
      <w:r w:rsidRPr="00BA2327">
        <w:rPr>
          <w:rFonts w:ascii="Verdana" w:eastAsia="Calibri" w:hAnsi="Verdana" w:cs="Courier New"/>
          <w:b/>
          <w:sz w:val="18"/>
          <w:szCs w:val="18"/>
        </w:rPr>
        <w:t>17 декабря 2019 года</w:t>
      </w:r>
      <w:r w:rsidRPr="00BA2327">
        <w:rPr>
          <w:rFonts w:ascii="Verdana" w:eastAsia="Calibri" w:hAnsi="Verdana" w:cs="Courier New"/>
          <w:sz w:val="18"/>
          <w:szCs w:val="18"/>
        </w:rPr>
        <w:t xml:space="preserve">                                         </w:t>
      </w:r>
      <w:proofErr w:type="spellStart"/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>м.п</w:t>
      </w:r>
      <w:proofErr w:type="spellEnd"/>
      <w:r w:rsidRPr="00BA2327">
        <w:rPr>
          <w:rFonts w:ascii="Verdana" w:eastAsia="Times New Roman" w:hAnsi="Verdana" w:cs="Verdana"/>
          <w:sz w:val="18"/>
          <w:szCs w:val="18"/>
          <w:lang w:eastAsia="ru-RU"/>
        </w:rPr>
        <w:t>.</w:t>
      </w:r>
      <w:bookmarkStart w:id="0" w:name="_GoBack"/>
      <w:bookmarkEnd w:id="0"/>
    </w:p>
    <w:p w:rsidR="003C09BD" w:rsidRPr="00D43BF8" w:rsidRDefault="003C09BD">
      <w:pPr>
        <w:rPr>
          <w:rFonts w:ascii="Verdana" w:hAnsi="Verdana"/>
          <w:sz w:val="18"/>
          <w:szCs w:val="18"/>
        </w:rPr>
      </w:pPr>
    </w:p>
    <w:sectPr w:rsidR="003C09BD" w:rsidRPr="00D43BF8" w:rsidSect="00773A8C">
      <w:pgSz w:w="11906" w:h="16838"/>
      <w:pgMar w:top="426" w:right="282" w:bottom="1134" w:left="567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27147"/>
    <w:multiLevelType w:val="multilevel"/>
    <w:tmpl w:val="0BCAA6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AC9"/>
    <w:rsid w:val="00302AC9"/>
    <w:rsid w:val="003C09BD"/>
    <w:rsid w:val="004D1AC5"/>
    <w:rsid w:val="009B75D9"/>
    <w:rsid w:val="00A3499A"/>
    <w:rsid w:val="00BA2327"/>
    <w:rsid w:val="00CB44C6"/>
    <w:rsid w:val="00D43BF8"/>
    <w:rsid w:val="00EB38CE"/>
    <w:rsid w:val="00F2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2344B-9F2B-4975-94E7-9D258CCF1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02AC9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302AC9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302AC9"/>
  </w:style>
  <w:style w:type="character" w:styleId="a7">
    <w:name w:val="annotation reference"/>
    <w:basedOn w:val="a0"/>
    <w:unhideWhenUsed/>
    <w:rsid w:val="00302AC9"/>
    <w:rPr>
      <w:sz w:val="16"/>
      <w:szCs w:val="16"/>
    </w:rPr>
  </w:style>
  <w:style w:type="character" w:customStyle="1" w:styleId="a4">
    <w:name w:val="Абзац списка Знак"/>
    <w:link w:val="a3"/>
    <w:uiPriority w:val="34"/>
    <w:locked/>
    <w:rsid w:val="00302AC9"/>
  </w:style>
  <w:style w:type="paragraph" w:styleId="a8">
    <w:name w:val="Balloon Text"/>
    <w:basedOn w:val="a"/>
    <w:link w:val="a9"/>
    <w:uiPriority w:val="99"/>
    <w:semiHidden/>
    <w:unhideWhenUsed/>
    <w:rsid w:val="00EB38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B38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8" TargetMode="External"/><Relationship Id="rId5" Type="http://schemas.openxmlformats.org/officeDocument/2006/relationships/hyperlink" Target="http://www.volgaflot.com/aktsioneram-i-investoram/soobshcheniya-o-sushchestvennykh-faktak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1118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«Судоходная компания «Волжское пароходство»</Company>
  <LinksUpToDate>false</LinksUpToDate>
  <CharactersWithSpaces>7479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Тулякова Ирина Геннадьевна</dc:creator>
  <cp:keywords/>
  <dc:description/>
  <cp:lastModifiedBy>Тулякова Ирина Геннадьевна</cp:lastModifiedBy>
  <cp:revision>9</cp:revision>
  <cp:lastPrinted>2019-12-16T14:21:00Z</cp:lastPrinted>
  <dcterms:created xsi:type="dcterms:W3CDTF">2019-12-16T12:47:00Z</dcterms:created>
  <dcterms:modified xsi:type="dcterms:W3CDTF">2019-12-18T05:10:00Z</dcterms:modified>
</cp:coreProperties>
</file>