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AA2B88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AA2B88" w:rsidRPr="00AA2B88">
        <w:rPr>
          <w:rFonts w:ascii="Verdana" w:eastAsia="Calibri" w:hAnsi="Verdana" w:cs="Times New Roman"/>
          <w:b/>
          <w:sz w:val="18"/>
          <w:szCs w:val="18"/>
        </w:rPr>
        <w:t>12</w:t>
      </w:r>
      <w:r w:rsidRPr="00AA2B8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B344F" w:rsidRPr="00AA2B88">
        <w:rPr>
          <w:rFonts w:ascii="Verdana" w:eastAsia="Calibri" w:hAnsi="Verdana" w:cs="Times New Roman"/>
          <w:b/>
          <w:sz w:val="18"/>
          <w:szCs w:val="18"/>
        </w:rPr>
        <w:t>дека</w:t>
      </w:r>
      <w:r w:rsidR="00295AF6" w:rsidRPr="00AA2B88">
        <w:rPr>
          <w:rFonts w:ascii="Verdana" w:eastAsia="Calibri" w:hAnsi="Verdana" w:cs="Times New Roman"/>
          <w:b/>
          <w:sz w:val="18"/>
          <w:szCs w:val="18"/>
        </w:rPr>
        <w:t>бря</w:t>
      </w:r>
      <w:r w:rsidRPr="00AA2B88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AA2B88">
        <w:rPr>
          <w:rFonts w:ascii="Verdana" w:eastAsia="Calibri" w:hAnsi="Verdana" w:cs="Times New Roman"/>
          <w:b/>
          <w:sz w:val="18"/>
          <w:szCs w:val="18"/>
        </w:rPr>
        <w:t>9</w:t>
      </w:r>
      <w:r w:rsidRPr="00AA2B88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AA2B88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: </w:t>
      </w:r>
      <w:r w:rsidR="00EB344F" w:rsidRPr="00AA2B88">
        <w:rPr>
          <w:rFonts w:ascii="Verdana" w:eastAsia="Calibri" w:hAnsi="Verdana" w:cs="Times New Roman"/>
          <w:b/>
          <w:sz w:val="18"/>
          <w:szCs w:val="18"/>
        </w:rPr>
        <w:t>16</w:t>
      </w:r>
      <w:r w:rsidR="00682C28" w:rsidRPr="00AA2B88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B344F" w:rsidRPr="00AA2B88">
        <w:rPr>
          <w:rFonts w:ascii="Verdana" w:eastAsia="Calibri" w:hAnsi="Verdana" w:cs="Times New Roman"/>
          <w:b/>
          <w:sz w:val="18"/>
          <w:szCs w:val="18"/>
        </w:rPr>
        <w:t>дека</w:t>
      </w:r>
      <w:r w:rsidR="00295AF6" w:rsidRPr="00AA2B88">
        <w:rPr>
          <w:rFonts w:ascii="Verdana" w:eastAsia="Calibri" w:hAnsi="Verdana" w:cs="Times New Roman"/>
          <w:b/>
          <w:sz w:val="18"/>
          <w:szCs w:val="18"/>
        </w:rPr>
        <w:t>бря</w:t>
      </w:r>
      <w:r w:rsidRPr="00AA2B88">
        <w:rPr>
          <w:rFonts w:ascii="Verdana" w:eastAsia="Calibri" w:hAnsi="Verdana" w:cs="Times New Roman"/>
          <w:b/>
          <w:sz w:val="18"/>
          <w:szCs w:val="18"/>
        </w:rPr>
        <w:t xml:space="preserve"> 201</w:t>
      </w:r>
      <w:r w:rsidR="008946FE" w:rsidRPr="00AA2B88">
        <w:rPr>
          <w:rFonts w:ascii="Verdana" w:eastAsia="Calibri" w:hAnsi="Verdana" w:cs="Times New Roman"/>
          <w:b/>
          <w:sz w:val="18"/>
          <w:szCs w:val="18"/>
        </w:rPr>
        <w:t>9</w:t>
      </w:r>
      <w:r w:rsidRPr="00AA2B88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AA2B88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AA2B88">
        <w:rPr>
          <w:rFonts w:ascii="Verdana" w:eastAsia="Calibri" w:hAnsi="Verdana" w:cs="Courier New"/>
          <w:sz w:val="18"/>
          <w:szCs w:val="18"/>
        </w:rPr>
        <w:t xml:space="preserve">2.3. </w:t>
      </w:r>
      <w:r w:rsidRPr="00AA2B88">
        <w:rPr>
          <w:rFonts w:ascii="Verdana" w:eastAsia="Calibri" w:hAnsi="Verdana" w:cs="Courier New"/>
          <w:b/>
          <w:sz w:val="18"/>
          <w:szCs w:val="18"/>
        </w:rPr>
        <w:t>П</w:t>
      </w:r>
      <w:r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EB344F" w:rsidRPr="00AA2B88" w:rsidRDefault="00EB344F" w:rsidP="00EB344F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AA2B88">
        <w:rPr>
          <w:rFonts w:ascii="Verdana" w:hAnsi="Verdana"/>
          <w:b/>
          <w:bCs/>
          <w:sz w:val="18"/>
          <w:szCs w:val="18"/>
        </w:rPr>
        <w:t xml:space="preserve">О согласии на совершение крупной сделки – совокупности взаимосвязанных Дополнительных соглашений к договорам об ипотеке (залоге недвижимого имущества) между Акционерным обществом «Судоходная компания «Волжское пароходство» и </w:t>
      </w:r>
      <w:r w:rsidRPr="00AA2B88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AA2B8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AA2B88">
        <w:rPr>
          <w:rFonts w:ascii="Verdana" w:hAnsi="Verdana"/>
          <w:b/>
          <w:sz w:val="18"/>
          <w:szCs w:val="18"/>
        </w:rPr>
        <w:t>подпунктом 27 пункта 10.2 статьи 10 Устава Общества.</w:t>
      </w:r>
    </w:p>
    <w:p w:rsidR="00EB344F" w:rsidRPr="00AA2B88" w:rsidRDefault="00EB344F" w:rsidP="00EB344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AA2B88">
        <w:rPr>
          <w:rFonts w:ascii="Verdana" w:hAnsi="Verdana"/>
          <w:b/>
          <w:bCs/>
          <w:sz w:val="18"/>
          <w:szCs w:val="18"/>
        </w:rPr>
        <w:t xml:space="preserve">Об одобрении сделок, связанных с обременением недвижимого имущества на срок более 3 (трех) лет – Дополнительных соглашений к договорам об ипотеке (залоге недвижимого имущества) между Акционерным обществом «Судоходная компания «Волжское пароходство» и </w:t>
      </w:r>
      <w:r w:rsidRPr="00AA2B88">
        <w:rPr>
          <w:rFonts w:ascii="Verdana" w:hAnsi="Verdana"/>
          <w:b/>
          <w:sz w:val="18"/>
          <w:szCs w:val="18"/>
        </w:rPr>
        <w:t xml:space="preserve">«Газпромбанк» (Акционерное общество) </w:t>
      </w:r>
      <w:r w:rsidRPr="00AA2B8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AA2B8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EB344F" w:rsidRPr="00AA2B88" w:rsidRDefault="00EB344F" w:rsidP="00EB344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AA2B88">
        <w:rPr>
          <w:rFonts w:ascii="Verdana" w:hAnsi="Verdana"/>
          <w:b/>
          <w:bCs/>
          <w:sz w:val="18"/>
          <w:szCs w:val="18"/>
        </w:rPr>
        <w:t xml:space="preserve">Об одобрении сделки, связанной с обременением недвижимого имущества на срок более 3 (трех) лет – Договора об ипотеке между Акционерным обществом «Судоходная компания «Волжское пароходство» и Банком ЗЕНИТ </w:t>
      </w:r>
      <w:r w:rsidRPr="00AA2B88">
        <w:rPr>
          <w:rFonts w:ascii="Verdana" w:hAnsi="Verdana"/>
          <w:b/>
          <w:sz w:val="18"/>
          <w:szCs w:val="18"/>
        </w:rPr>
        <w:t xml:space="preserve">(публичное акционерное общество) </w:t>
      </w:r>
      <w:r w:rsidRPr="00AA2B8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AA2B8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EB344F" w:rsidRPr="00AA2B88" w:rsidRDefault="00EB344F" w:rsidP="00EB344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AA2B88">
        <w:rPr>
          <w:rFonts w:ascii="Verdana" w:hAnsi="Verdana"/>
          <w:b/>
          <w:bCs/>
          <w:sz w:val="18"/>
          <w:szCs w:val="18"/>
        </w:rPr>
        <w:t>Об одобрении сделки, связанной с обременением недвижимого имущества на срок более 3 (трех) лет – Договора об ипотеке между Акционерным обществом «Судоходная компания «Волжское пароходство» и Акционерным обществом «Райффайзенбанк»</w:t>
      </w:r>
      <w:r w:rsidRPr="00AA2B88">
        <w:rPr>
          <w:rFonts w:ascii="Verdana" w:hAnsi="Verdana"/>
          <w:b/>
          <w:sz w:val="18"/>
          <w:szCs w:val="18"/>
        </w:rPr>
        <w:t xml:space="preserve"> </w:t>
      </w:r>
      <w:r w:rsidRPr="00AA2B88">
        <w:rPr>
          <w:rFonts w:ascii="Verdana" w:hAnsi="Verdana"/>
          <w:b/>
          <w:bCs/>
          <w:sz w:val="18"/>
          <w:szCs w:val="18"/>
        </w:rPr>
        <w:t xml:space="preserve">в соответствии с </w:t>
      </w:r>
      <w:r w:rsidRPr="00AA2B88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FB5466" w:rsidRPr="00AA2B88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AA2B88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AA2B88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AA2B88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AA2B88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AA2B88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AA2B88"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12</w:t>
      </w:r>
      <w:r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EB344F"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дека</w:t>
      </w:r>
      <w:r w:rsidR="00295AF6"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бря</w:t>
      </w:r>
      <w:r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201</w:t>
      </w:r>
      <w:r w:rsidR="008946FE"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9</w:t>
      </w:r>
      <w:r w:rsidRPr="00AA2B88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76BC"/>
    <w:rsid w:val="00682C28"/>
    <w:rsid w:val="006B2C64"/>
    <w:rsid w:val="007D0F95"/>
    <w:rsid w:val="00883503"/>
    <w:rsid w:val="008946FE"/>
    <w:rsid w:val="008E0030"/>
    <w:rsid w:val="00964DBD"/>
    <w:rsid w:val="009C6705"/>
    <w:rsid w:val="00AA2B88"/>
    <w:rsid w:val="00BC2ED7"/>
    <w:rsid w:val="00CC27FB"/>
    <w:rsid w:val="00D40E13"/>
    <w:rsid w:val="00D44DEE"/>
    <w:rsid w:val="00D766A3"/>
    <w:rsid w:val="00DE710B"/>
    <w:rsid w:val="00DF337B"/>
    <w:rsid w:val="00DF3690"/>
    <w:rsid w:val="00E65F0E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8439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2019-12-11T07:40:00Z</dcterms:created>
  <dcterms:modified xsi:type="dcterms:W3CDTF">2019-12-13T05:06:00Z</dcterms:modified>
</cp:coreProperties>
</file>